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E210" w14:textId="645715B3" w:rsidR="00965AA4" w:rsidRPr="008E6506" w:rsidRDefault="00965AA4" w:rsidP="000604B7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 w:rsidRPr="008E6506">
        <w:rPr>
          <w:rFonts w:ascii="Arial" w:hAnsi="Arial" w:cs="Arial"/>
          <w:b/>
          <w:bCs/>
          <w:lang w:val="sk-SK"/>
        </w:rPr>
        <w:t>Príloh</w:t>
      </w:r>
      <w:r w:rsidR="00336CDB" w:rsidRPr="008E6506">
        <w:rPr>
          <w:rFonts w:ascii="Arial" w:hAnsi="Arial" w:cs="Arial"/>
          <w:b/>
          <w:bCs/>
          <w:lang w:val="sk-SK"/>
        </w:rPr>
        <w:t>y k žiadosti o poskytnutie podpory</w:t>
      </w:r>
      <w:r w:rsidRPr="008E6506">
        <w:rPr>
          <w:rFonts w:ascii="Arial" w:hAnsi="Arial" w:cs="Arial"/>
          <w:b/>
          <w:bCs/>
          <w:lang w:val="sk-SK"/>
        </w:rPr>
        <w:t xml:space="preserve"> zo ŠFRB</w:t>
      </w:r>
    </w:p>
    <w:p w14:paraId="59013709" w14:textId="77777777" w:rsidR="00965AA4" w:rsidRPr="008E6506" w:rsidRDefault="00965AA4" w:rsidP="000604B7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14:paraId="1EA92917" w14:textId="670D6972" w:rsidR="008D14C8" w:rsidRPr="008E6506" w:rsidRDefault="00894085" w:rsidP="000604B7">
      <w:pPr>
        <w:spacing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U</w:t>
      </w:r>
      <w:r w:rsidR="00092640" w:rsidRPr="008E6506">
        <w:rPr>
          <w:rFonts w:ascii="Arial" w:hAnsi="Arial" w:cs="Arial"/>
          <w:b/>
          <w:bCs/>
          <w:lang w:val="sk-SK"/>
        </w:rPr>
        <w:t>410</w:t>
      </w:r>
      <w:r w:rsidR="0021776F">
        <w:rPr>
          <w:rFonts w:ascii="Arial" w:hAnsi="Arial" w:cs="Arial"/>
          <w:b/>
          <w:bCs/>
          <w:lang w:val="sk-SK"/>
        </w:rPr>
        <w:t>1</w:t>
      </w:r>
      <w:bookmarkStart w:id="0" w:name="_GoBack"/>
      <w:bookmarkEnd w:id="0"/>
      <w:r w:rsidR="00092640" w:rsidRPr="008E6506">
        <w:rPr>
          <w:rFonts w:ascii="Arial" w:hAnsi="Arial" w:cs="Arial"/>
          <w:b/>
          <w:bCs/>
          <w:lang w:val="sk-SK"/>
        </w:rPr>
        <w:t xml:space="preserve">  </w:t>
      </w:r>
      <w:r w:rsidR="004539DC" w:rsidRPr="008E6506">
        <w:rPr>
          <w:rFonts w:ascii="Arial" w:hAnsi="Arial" w:cs="Arial"/>
          <w:b/>
          <w:bCs/>
          <w:u w:val="single"/>
          <w:lang w:val="sk-SK"/>
        </w:rPr>
        <w:t xml:space="preserve">Kúpa </w:t>
      </w:r>
      <w:r w:rsidR="006E0116" w:rsidRPr="008E6506">
        <w:rPr>
          <w:rFonts w:ascii="Arial" w:hAnsi="Arial" w:cs="Arial"/>
          <w:b/>
          <w:bCs/>
          <w:u w:val="single"/>
          <w:lang w:val="sk-SK"/>
        </w:rPr>
        <w:t>technickej vybavenosti</w:t>
      </w:r>
      <w:r w:rsidR="004539DC" w:rsidRPr="008E6506">
        <w:rPr>
          <w:rFonts w:ascii="Arial" w:hAnsi="Arial" w:cs="Arial"/>
          <w:b/>
          <w:bCs/>
          <w:lang w:val="sk-SK"/>
        </w:rPr>
        <w:tab/>
      </w:r>
      <w:r w:rsidR="00094DBF" w:rsidRPr="008E6506">
        <w:rPr>
          <w:rFonts w:ascii="Arial" w:hAnsi="Arial" w:cs="Arial"/>
          <w:b/>
          <w:bCs/>
          <w:lang w:val="sk-SK"/>
        </w:rPr>
        <w:tab/>
      </w:r>
      <w:r w:rsidR="00094DBF" w:rsidRPr="008E6506">
        <w:rPr>
          <w:rFonts w:ascii="Arial" w:hAnsi="Arial" w:cs="Arial"/>
          <w:b/>
          <w:bCs/>
          <w:lang w:val="sk-SK"/>
        </w:rPr>
        <w:tab/>
      </w:r>
      <w:r w:rsidR="00A52C60" w:rsidRPr="008E6506">
        <w:rPr>
          <w:rFonts w:ascii="Arial" w:hAnsi="Arial" w:cs="Arial"/>
          <w:b/>
          <w:bCs/>
          <w:lang w:val="sk-SK"/>
        </w:rPr>
        <w:t>PO</w:t>
      </w:r>
      <w:r w:rsidR="00336CDB" w:rsidRPr="008E6506">
        <w:rPr>
          <w:rFonts w:ascii="Arial" w:hAnsi="Arial" w:cs="Arial"/>
          <w:b/>
          <w:bCs/>
          <w:lang w:val="sk-SK"/>
        </w:rPr>
        <w:t xml:space="preserve"> (právnická osoba):</w:t>
      </w:r>
    </w:p>
    <w:p w14:paraId="2EB416B4" w14:textId="77777777" w:rsidR="0021776F" w:rsidRDefault="001F672A" w:rsidP="0021776F">
      <w:pPr>
        <w:spacing w:line="276" w:lineRule="auto"/>
        <w:rPr>
          <w:rFonts w:ascii="Arial" w:hAnsi="Arial" w:cs="Arial"/>
          <w:b/>
          <w:bCs/>
          <w:lang w:val="sk-SK"/>
        </w:rPr>
      </w:pPr>
      <w:r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21776F">
        <w:rPr>
          <w:rFonts w:ascii="Arial" w:hAnsi="Arial" w:cs="Arial"/>
          <w:b/>
        </w:rPr>
        <w:t xml:space="preserve">podľa § 7, ods. 1, písm. g) zákona </w:t>
      </w:r>
    </w:p>
    <w:p w14:paraId="662AB62F" w14:textId="44A5FBA7" w:rsidR="00B51563" w:rsidRPr="008E6506" w:rsidRDefault="00B51563" w:rsidP="000604B7">
      <w:pPr>
        <w:spacing w:line="276" w:lineRule="auto"/>
        <w:rPr>
          <w:rFonts w:ascii="Arial" w:hAnsi="Arial" w:cs="Arial"/>
          <w:b/>
          <w:bCs/>
          <w:lang w:val="sk-SK"/>
        </w:rPr>
      </w:pPr>
    </w:p>
    <w:p w14:paraId="0F9C0491" w14:textId="77777777" w:rsidR="008C58FC" w:rsidRPr="008E6506" w:rsidRDefault="008C58FC" w:rsidP="000604B7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689"/>
        <w:gridCol w:w="2409"/>
        <w:gridCol w:w="2207"/>
        <w:gridCol w:w="1308"/>
        <w:gridCol w:w="1276"/>
      </w:tblGrid>
      <w:tr w:rsidR="00A75109" w:rsidRPr="008E6506" w14:paraId="755AAEBC" w14:textId="77777777" w:rsidTr="00F258C5">
        <w:tc>
          <w:tcPr>
            <w:tcW w:w="5098" w:type="dxa"/>
            <w:gridSpan w:val="2"/>
            <w:vMerge w:val="restart"/>
          </w:tcPr>
          <w:p w14:paraId="6F67D9D5" w14:textId="77777777" w:rsidR="00094DBF" w:rsidRPr="008E6506" w:rsidRDefault="00094DBF" w:rsidP="006E0116">
            <w:pPr>
              <w:rPr>
                <w:rFonts w:ascii="Arial" w:hAnsi="Arial" w:cs="Arial"/>
                <w:b/>
                <w:lang w:val="sk-SK"/>
              </w:rPr>
            </w:pPr>
          </w:p>
          <w:p w14:paraId="7E1CB231" w14:textId="77777777" w:rsidR="00094DBF" w:rsidRPr="008E6506" w:rsidRDefault="00094DBF" w:rsidP="006E0116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lang w:val="sk-SK"/>
              </w:rPr>
              <w:t>Žiadateľ:</w:t>
            </w:r>
          </w:p>
        </w:tc>
        <w:tc>
          <w:tcPr>
            <w:tcW w:w="3515" w:type="dxa"/>
            <w:gridSpan w:val="2"/>
          </w:tcPr>
          <w:p w14:paraId="2DECFEB5" w14:textId="77777777" w:rsidR="00094DBF" w:rsidRPr="008E6506" w:rsidRDefault="00094DBF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Číslo žiadosti EPŽ</w:t>
            </w:r>
          </w:p>
          <w:p w14:paraId="77F437CC" w14:textId="77777777" w:rsidR="00094DBF" w:rsidRPr="008E6506" w:rsidRDefault="003A269C" w:rsidP="003A269C">
            <w:pPr>
              <w:rPr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na obstaranie </w:t>
            </w:r>
            <w:r w:rsidR="00094DBF"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technick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ej</w:t>
            </w:r>
            <w:r w:rsidR="00094DBF"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vybavenos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ti</w:t>
            </w:r>
            <w:r w:rsidR="000B689E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  <w:tc>
          <w:tcPr>
            <w:tcW w:w="1276" w:type="dxa"/>
          </w:tcPr>
          <w:p w14:paraId="6F0D8957" w14:textId="77777777" w:rsidR="00094DBF" w:rsidRPr="008E6506" w:rsidRDefault="00094DBF" w:rsidP="006E0116">
            <w:pPr>
              <w:rPr>
                <w:lang w:val="sk-SK"/>
              </w:rPr>
            </w:pPr>
          </w:p>
        </w:tc>
      </w:tr>
      <w:tr w:rsidR="00094DBF" w:rsidRPr="008E6506" w14:paraId="50FA79FF" w14:textId="77777777" w:rsidTr="00F258C5">
        <w:tc>
          <w:tcPr>
            <w:tcW w:w="5098" w:type="dxa"/>
            <w:gridSpan w:val="2"/>
            <w:vMerge/>
          </w:tcPr>
          <w:p w14:paraId="32EE644C" w14:textId="77777777" w:rsidR="00094DBF" w:rsidRPr="008E6506" w:rsidRDefault="00094DBF" w:rsidP="006E0116">
            <w:pPr>
              <w:rPr>
                <w:lang w:val="sk-SK"/>
              </w:rPr>
            </w:pPr>
          </w:p>
        </w:tc>
        <w:tc>
          <w:tcPr>
            <w:tcW w:w="3515" w:type="dxa"/>
            <w:gridSpan w:val="2"/>
          </w:tcPr>
          <w:p w14:paraId="7E8A9724" w14:textId="77777777" w:rsidR="00094DBF" w:rsidRPr="008E6506" w:rsidRDefault="00094DBF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Číslo žiadosti EPŽ</w:t>
            </w:r>
          </w:p>
          <w:p w14:paraId="25D5309F" w14:textId="77777777" w:rsidR="00094DBF" w:rsidRPr="008E6506" w:rsidRDefault="00094DBF" w:rsidP="003A269C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na</w:t>
            </w: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3A269C" w:rsidRPr="000B689E">
              <w:rPr>
                <w:rFonts w:ascii="Arial" w:hAnsi="Arial" w:cs="Arial"/>
                <w:sz w:val="18"/>
                <w:szCs w:val="18"/>
                <w:lang w:val="sk-SK"/>
              </w:rPr>
              <w:t>obstaranie</w:t>
            </w:r>
            <w:r w:rsidR="003A269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súvisiac</w:t>
            </w:r>
            <w:r w:rsidR="003A269C">
              <w:rPr>
                <w:rFonts w:ascii="Arial" w:hAnsi="Arial" w:cs="Arial"/>
                <w:sz w:val="18"/>
                <w:szCs w:val="18"/>
                <w:lang w:val="sk-SK"/>
              </w:rPr>
              <w:t>ich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nájomn</w:t>
            </w:r>
            <w:r w:rsidR="003A269C">
              <w:rPr>
                <w:rFonts w:ascii="Arial" w:hAnsi="Arial" w:cs="Arial"/>
                <w:sz w:val="18"/>
                <w:szCs w:val="18"/>
                <w:lang w:val="sk-SK"/>
              </w:rPr>
              <w:t>ých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byt</w:t>
            </w:r>
            <w:r w:rsidR="003A269C">
              <w:rPr>
                <w:rFonts w:ascii="Arial" w:hAnsi="Arial" w:cs="Arial"/>
                <w:sz w:val="18"/>
                <w:szCs w:val="18"/>
                <w:lang w:val="sk-SK"/>
              </w:rPr>
              <w:t>ov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  <w:tc>
          <w:tcPr>
            <w:tcW w:w="1276" w:type="dxa"/>
          </w:tcPr>
          <w:p w14:paraId="7EB71701" w14:textId="77777777" w:rsidR="00094DBF" w:rsidRPr="008E6506" w:rsidRDefault="00094DBF" w:rsidP="006E0116">
            <w:pPr>
              <w:rPr>
                <w:lang w:val="sk-SK"/>
              </w:rPr>
            </w:pPr>
          </w:p>
        </w:tc>
      </w:tr>
      <w:tr w:rsidR="00434D43" w:rsidRPr="008E6506" w14:paraId="2F697BD6" w14:textId="77777777" w:rsidTr="00F258C5">
        <w:tc>
          <w:tcPr>
            <w:tcW w:w="2689" w:type="dxa"/>
            <w:vMerge w:val="restart"/>
          </w:tcPr>
          <w:p w14:paraId="08738720" w14:textId="5800C4AE" w:rsidR="00434D43" w:rsidRPr="00434D43" w:rsidRDefault="00434D43" w:rsidP="00094DBF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34D43">
              <w:rPr>
                <w:rFonts w:ascii="Arial" w:hAnsi="Arial" w:cs="Arial"/>
                <w:sz w:val="20"/>
                <w:szCs w:val="20"/>
                <w:lang w:val="sk-SK"/>
              </w:rPr>
              <w:t>Obstaranie technickej vybavenosti</w:t>
            </w:r>
          </w:p>
        </w:tc>
        <w:tc>
          <w:tcPr>
            <w:tcW w:w="4616" w:type="dxa"/>
            <w:gridSpan w:val="2"/>
          </w:tcPr>
          <w:p w14:paraId="10990B68" w14:textId="37BE1E3A" w:rsidR="00434D43" w:rsidRPr="00434D43" w:rsidRDefault="00952D91" w:rsidP="00094DB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434D43" w:rsidRPr="00434D43">
              <w:rPr>
                <w:rFonts w:ascii="Arial" w:hAnsi="Arial" w:cs="Arial"/>
                <w:sz w:val="18"/>
                <w:szCs w:val="18"/>
                <w:lang w:val="sk-SK"/>
              </w:rPr>
              <w:t>úpou na základe kúpnej zmluvy</w:t>
            </w:r>
          </w:p>
        </w:tc>
        <w:tc>
          <w:tcPr>
            <w:tcW w:w="1308" w:type="dxa"/>
          </w:tcPr>
          <w:p w14:paraId="6CF2A269" w14:textId="672DF0F7" w:rsidR="00434D43" w:rsidRPr="008E6506" w:rsidRDefault="00434D43" w:rsidP="00434D43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6" w:type="dxa"/>
          </w:tcPr>
          <w:p w14:paraId="53138887" w14:textId="7C83EE4A" w:rsidR="00434D43" w:rsidRPr="008E6506" w:rsidRDefault="00434D43" w:rsidP="006E0116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34D43" w:rsidRPr="008E6506" w14:paraId="272949FD" w14:textId="77777777" w:rsidTr="00F258C5">
        <w:tc>
          <w:tcPr>
            <w:tcW w:w="2689" w:type="dxa"/>
            <w:vMerge/>
          </w:tcPr>
          <w:p w14:paraId="7F9EA9D9" w14:textId="1F2B0607" w:rsidR="00434D43" w:rsidRPr="008E6506" w:rsidRDefault="00434D43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616" w:type="dxa"/>
            <w:gridSpan w:val="2"/>
          </w:tcPr>
          <w:p w14:paraId="76C7217D" w14:textId="253E1F96" w:rsidR="00434D43" w:rsidRPr="00434D43" w:rsidRDefault="00952D91" w:rsidP="00094DB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434D43" w:rsidRPr="00434D43">
              <w:rPr>
                <w:rFonts w:ascii="Arial" w:hAnsi="Arial" w:cs="Arial"/>
                <w:sz w:val="18"/>
                <w:szCs w:val="18"/>
                <w:lang w:val="sk-SK"/>
              </w:rPr>
              <w:t>úpou na základe zmluvy o budúcej kúpnej zmluve</w:t>
            </w:r>
          </w:p>
        </w:tc>
        <w:tc>
          <w:tcPr>
            <w:tcW w:w="1308" w:type="dxa"/>
          </w:tcPr>
          <w:p w14:paraId="16DF4E73" w14:textId="68821EE0" w:rsidR="00434D43" w:rsidRPr="008E6506" w:rsidRDefault="00434D43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6" w:type="dxa"/>
          </w:tcPr>
          <w:p w14:paraId="04E6D941" w14:textId="6C597721" w:rsidR="00434D43" w:rsidRPr="008E6506" w:rsidRDefault="00434D43" w:rsidP="006E0116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3427168F" w14:textId="77777777" w:rsidR="00092640" w:rsidRPr="008E6506" w:rsidRDefault="00092640" w:rsidP="006E0116">
      <w:pPr>
        <w:rPr>
          <w:lang w:val="sk-SK"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4"/>
        <w:gridCol w:w="6460"/>
        <w:gridCol w:w="1236"/>
        <w:gridCol w:w="1272"/>
      </w:tblGrid>
      <w:tr w:rsidR="00A75109" w:rsidRPr="008E6506" w14:paraId="2AE3AD6F" w14:textId="77777777" w:rsidTr="00F258C5">
        <w:trPr>
          <w:trHeight w:val="283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994D81" w14:textId="77777777" w:rsidR="006E0116" w:rsidRPr="008E6506" w:rsidRDefault="006E0116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63F3ABC" w14:textId="77777777" w:rsidR="006E0116" w:rsidRPr="008E6506" w:rsidRDefault="006E0116" w:rsidP="006E0116">
            <w:pPr>
              <w:spacing w:line="276" w:lineRule="auto"/>
              <w:ind w:left="-108" w:right="-73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účelu</w:t>
            </w:r>
            <w:r w:rsidRPr="008E6506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(3)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BD1538" w14:textId="77777777" w:rsidR="006E0116" w:rsidRPr="008E6506" w:rsidRDefault="006E0116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</w:tr>
      <w:tr w:rsidR="00FD638A" w:rsidRPr="008E6506" w14:paraId="1DE4E38F" w14:textId="77777777" w:rsidTr="00F258C5">
        <w:trPr>
          <w:trHeight w:val="277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59E" w14:textId="490C4BFC" w:rsidR="00FD638A" w:rsidRPr="008E6506" w:rsidRDefault="00FD638A" w:rsidP="00A360D9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U411</w:t>
            </w:r>
            <w:r w:rsidR="00A360D9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CC12D" w14:textId="681F5BF1" w:rsidR="00FD638A" w:rsidRPr="008E6506" w:rsidRDefault="00FD638A" w:rsidP="00DF1186">
            <w:pPr>
              <w:spacing w:line="276" w:lineRule="auto"/>
              <w:ind w:left="-108"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Verejný vodovod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BCC7D" w14:textId="15330680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0BBE4" w14:textId="16643ACB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48B1943D" w14:textId="77777777" w:rsidTr="00F258C5">
        <w:trPr>
          <w:trHeight w:val="267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63B5" w14:textId="77CBCBE6" w:rsidR="00FD638A" w:rsidRPr="008E6506" w:rsidRDefault="00FD638A" w:rsidP="00A360D9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U412</w:t>
            </w:r>
            <w:r w:rsidR="00A360D9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09D44" w14:textId="6BA65BDF" w:rsidR="00FD638A" w:rsidRPr="008E6506" w:rsidRDefault="00FD638A" w:rsidP="00DF1186">
            <w:pPr>
              <w:spacing w:line="276" w:lineRule="auto"/>
              <w:ind w:left="-108"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Verejná kanalizácia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E2694" w14:textId="34BDE03E" w:rsidR="00FD638A" w:rsidRPr="008E6506" w:rsidRDefault="00FD638A" w:rsidP="00DF118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AAC52" w14:textId="2B5D8F8B" w:rsidR="00FD638A" w:rsidRPr="008E6506" w:rsidRDefault="00FD638A" w:rsidP="006E011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146B703C" w14:textId="77777777" w:rsidTr="00F258C5">
        <w:trPr>
          <w:trHeight w:val="271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64861" w14:textId="605A3016" w:rsidR="00FD638A" w:rsidRPr="008E6506" w:rsidRDefault="00FD638A" w:rsidP="00A360D9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U413</w:t>
            </w:r>
            <w:r w:rsidR="00A360D9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6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B0E24" w14:textId="056EAAEE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(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ČOV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A57C4" w14:textId="6D5CD414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D5C821" w14:textId="7395FAB5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27076D55" w14:textId="77777777" w:rsidTr="00F258C5">
        <w:trPr>
          <w:trHeight w:val="261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F84DC" w14:textId="7EF3ADCE" w:rsidR="00FD638A" w:rsidRPr="008E6506" w:rsidRDefault="00FD638A" w:rsidP="00A360D9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U414</w:t>
            </w:r>
            <w:r w:rsidR="00A360D9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6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62C87" w14:textId="74BB3D5C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Miestna komunikácia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F710EA" w14:textId="5A87C9C9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50EFAB" w14:textId="0A4300D1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04619B12" w14:textId="77777777" w:rsidTr="00F258C5">
        <w:trPr>
          <w:trHeight w:val="252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D365D" w14:textId="655FB4AA" w:rsidR="00FD638A" w:rsidRPr="008E6506" w:rsidRDefault="00FD638A" w:rsidP="00A360D9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U415</w:t>
            </w:r>
            <w:r w:rsidR="00A360D9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6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C062B" w14:textId="240C1578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Odstavná plocha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659062" w14:textId="049F933B" w:rsidR="00FD638A" w:rsidRPr="008E6506" w:rsidRDefault="00FD638A" w:rsidP="00DF118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610DF6" w14:textId="0CC1BB1E" w:rsidR="00FD638A" w:rsidRPr="008E6506" w:rsidRDefault="00FD638A" w:rsidP="006E011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6D2BBBFA" w14:textId="77777777" w:rsidTr="00F258C5">
        <w:trPr>
          <w:trHeight w:val="255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9DD13" w14:textId="23A2CF47" w:rsidR="00FD638A" w:rsidRPr="008E6506" w:rsidRDefault="00FD638A" w:rsidP="00A360D9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U416</w:t>
            </w:r>
            <w:r w:rsidR="00A360D9"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6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F3013" w14:textId="06D0703E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Garážové stojisko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C3EBF7" w14:textId="631B440F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40633C" w14:textId="5303D805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7439E8B8" w14:textId="77777777" w:rsidR="006E0116" w:rsidRPr="008E6506" w:rsidRDefault="006E0116" w:rsidP="006E0116">
      <w:pPr>
        <w:rPr>
          <w:lang w:val="sk-SK"/>
        </w:rPr>
      </w:pPr>
    </w:p>
    <w:p w14:paraId="6CA1CDB5" w14:textId="77777777" w:rsidR="004B2E25" w:rsidRPr="008E6506" w:rsidRDefault="00965AA4" w:rsidP="000604B7">
      <w:pPr>
        <w:pStyle w:val="Nadpis8"/>
        <w:spacing w:line="276" w:lineRule="auto"/>
        <w:jc w:val="left"/>
        <w:rPr>
          <w:szCs w:val="24"/>
          <w:lang w:val="sk-SK"/>
        </w:rPr>
      </w:pPr>
      <w:r w:rsidRPr="008E6506">
        <w:rPr>
          <w:szCs w:val="24"/>
          <w:lang w:val="sk-SK"/>
        </w:rPr>
        <w:t>Prílohy: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504"/>
        <w:gridCol w:w="6530"/>
        <w:gridCol w:w="18"/>
        <w:gridCol w:w="713"/>
        <w:gridCol w:w="708"/>
        <w:gridCol w:w="709"/>
      </w:tblGrid>
      <w:tr w:rsidR="00094DBF" w:rsidRPr="008E6506" w14:paraId="41632BE8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65D842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Poč.</w:t>
            </w:r>
          </w:p>
          <w:p w14:paraId="1CA2A4B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2695688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4CD6F1E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D0B3156" w14:textId="77777777" w:rsidR="00094DBF" w:rsidRPr="008E6506" w:rsidRDefault="00094DBF" w:rsidP="000604B7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170AB33" w14:textId="77777777" w:rsidR="00094DBF" w:rsidRPr="008E6506" w:rsidRDefault="00094DBF" w:rsidP="00C36277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Áno</w:t>
            </w:r>
            <w:r w:rsidRPr="008E6506">
              <w:rPr>
                <w:rFonts w:ascii="Arial" w:hAnsi="Arial" w:cs="Arial"/>
                <w:sz w:val="20"/>
                <w:vertAlign w:val="superscript"/>
                <w:lang w:val="sk-SK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3A64A037" w14:textId="77777777" w:rsidR="00094DBF" w:rsidRPr="008E6506" w:rsidRDefault="00094DBF" w:rsidP="00737199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Áno</w:t>
            </w:r>
            <w:r w:rsidRPr="008E6506">
              <w:rPr>
                <w:rFonts w:ascii="Arial" w:hAnsi="Arial" w:cs="Arial"/>
                <w:sz w:val="20"/>
                <w:vertAlign w:val="superscript"/>
                <w:lang w:val="sk-SK"/>
              </w:rPr>
              <w:t>(5)</w:t>
            </w:r>
          </w:p>
        </w:tc>
      </w:tr>
      <w:tr w:rsidR="00094DBF" w:rsidRPr="008E6506" w14:paraId="419128DC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98398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E3A62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699276" w14:textId="77777777" w:rsidR="00094DBF" w:rsidRPr="008E6506" w:rsidRDefault="00094DBF" w:rsidP="000604B7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8E6506">
              <w:rPr>
                <w:rFonts w:ascii="Arial" w:hAnsi="Arial" w:cs="Arial"/>
                <w:lang w:val="sk-SK"/>
              </w:rPr>
              <w:t>A. Identifikačné údaje žiadateľa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249B7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D4C4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4C33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2D78AB09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5A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6A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07E" w14:textId="77777777" w:rsidR="00624A9B" w:rsidRDefault="00624A9B" w:rsidP="00624A9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50"/>
                <w:sz w:val="20"/>
                <w:lang w:val="sk-SK"/>
              </w:rPr>
            </w:pPr>
            <w:r w:rsidRPr="00CD2810">
              <w:rPr>
                <w:rFonts w:ascii="Arial" w:hAnsi="Arial" w:cs="Arial"/>
                <w:sz w:val="20"/>
                <w:lang w:val="sk-SK"/>
              </w:rPr>
              <w:t>výpis z obchodného registra alebo obdobného registra (nie starší ako 3 mesiace)</w:t>
            </w:r>
            <w:r w:rsidRPr="00CD2810">
              <w:rPr>
                <w:rFonts w:ascii="Arial" w:hAnsi="Arial" w:cs="Arial"/>
                <w:color w:val="00B050"/>
                <w:sz w:val="20"/>
                <w:lang w:val="sk-SK"/>
              </w:rPr>
              <w:t xml:space="preserve">      </w:t>
            </w:r>
          </w:p>
          <w:p w14:paraId="461D3E11" w14:textId="37F69163" w:rsidR="00094DBF" w:rsidRPr="008E6506" w:rsidRDefault="00094DBF" w:rsidP="000A64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92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07F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32F4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34C6DA94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3D42F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3F0B0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979504" w14:textId="416140E5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</w:t>
            </w:r>
            <w:r w:rsidR="00337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stavbe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3C832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7F908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D8A1DF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75109" w:rsidRPr="008E6506" w14:paraId="185A0312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F4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12D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1A9" w14:textId="77777777" w:rsidR="00094DBF" w:rsidRPr="008E6506" w:rsidRDefault="00094DBF" w:rsidP="007016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lang w:val="sk-SK"/>
              </w:rPr>
              <w:t>právoplatné kolaudačné rozhodnutie technickej vybavenosti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37A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A52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C6A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4EF98D49" w14:textId="77777777" w:rsidTr="00F258C5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4B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E6C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3C1" w14:textId="77777777" w:rsidR="00094DBF" w:rsidRPr="008E6506" w:rsidRDefault="00094DBF" w:rsidP="004139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právoplatné kolaudačné rozhodnutie súvisiacich nájomných bytov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1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1F8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8D39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747D5416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19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985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357" w14:textId="77777777" w:rsidR="00094DBF" w:rsidRPr="008E6506" w:rsidRDefault="00094DBF" w:rsidP="003A269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lang w:val="sk-SK"/>
              </w:rPr>
              <w:t xml:space="preserve">právoplatné stavebné povolenie - 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 obstarania technickej vybavenosti na základe zmluvy o budúcej kúpnej zmluve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30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8CB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A4A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1CE91982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A8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69BE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E50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výpis z listu vlastníctva stavebného pozemku prislúchajúceho k predmetnej stavbe</w:t>
            </w:r>
            <w:r w:rsidR="003A269C">
              <w:rPr>
                <w:rFonts w:ascii="Arial" w:hAnsi="Arial" w:cs="Arial"/>
                <w:sz w:val="20"/>
                <w:szCs w:val="20"/>
                <w:lang w:val="sk-SK"/>
              </w:rPr>
              <w:t xml:space="preserve"> technickej vybavenosti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 xml:space="preserve"> (nie starší ako 3 mes.)</w:t>
            </w:r>
          </w:p>
          <w:p w14:paraId="38F7F70F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- akceptuje sa aj z katastrálneho portálu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5AE" w14:textId="77777777" w:rsidR="00094DBF" w:rsidRPr="008E6506" w:rsidRDefault="002F2D1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5C6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344B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931CC" w:rsidRPr="008E6506" w14:paraId="01BBC5FF" w14:textId="77777777" w:rsidTr="0090374C">
        <w:trPr>
          <w:trHeight w:val="7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4583C" w14:textId="77777777" w:rsidR="004931CC" w:rsidRPr="008E6506" w:rsidRDefault="004931C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BEA1" w14:textId="77777777" w:rsidR="004931CC" w:rsidRPr="008E6506" w:rsidRDefault="004931CC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2EF3F" w14:textId="77777777" w:rsidR="004931CC" w:rsidRPr="008E6506" w:rsidRDefault="004931C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kúpna zmluva vrátane všetkých príloh a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 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dodatkov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na kúpu technickej vybavenosti</w:t>
            </w:r>
          </w:p>
          <w:p w14:paraId="7BB105AC" w14:textId="77777777" w:rsidR="004931CC" w:rsidRPr="008E6506" w:rsidRDefault="004931C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(s úradne overenými podpismi zmluvných strán)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83C1" w14:textId="77777777" w:rsidR="004931CC" w:rsidRPr="008E6506" w:rsidRDefault="004931C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6F16" w14:textId="77777777" w:rsidR="004931CC" w:rsidRPr="008E6506" w:rsidRDefault="004931CC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6F04" w14:textId="77777777" w:rsidR="004931CC" w:rsidRPr="008E6506" w:rsidRDefault="004931CC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2D08FDA8" w14:textId="77777777" w:rsidTr="00624A9B">
        <w:trPr>
          <w:trHeight w:val="9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70F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4EBC2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5292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zmluva o budúcej kúpnej zmluve vrátane všetkých príloh a</w:t>
            </w:r>
            <w:r w:rsidR="00352381">
              <w:rPr>
                <w:rFonts w:ascii="Arial" w:hAnsi="Arial" w:cs="Arial"/>
                <w:bCs/>
                <w:sz w:val="20"/>
                <w:szCs w:val="20"/>
                <w:lang w:val="sk-SK"/>
              </w:rPr>
              <w:t> 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dodatkov</w:t>
            </w:r>
            <w:r w:rsidR="00352381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na kúpu technickej vybavenosti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- 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 obstarania technickej vybavenosti na základe zmluvy o budúcej kúpnej zmluve </w:t>
            </w:r>
          </w:p>
          <w:p w14:paraId="37986F1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(s úradne overenými podpismi zmluvných strán)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DE5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31FB9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4C290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731EF9D1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D0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408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740" w14:textId="417D8627" w:rsidR="00094DBF" w:rsidRPr="008E6506" w:rsidRDefault="004931CC" w:rsidP="004931C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</w:t>
            </w:r>
            <w:r w:rsidR="00094DBF" w:rsidRPr="008E6506">
              <w:rPr>
                <w:rFonts w:ascii="Arial" w:hAnsi="Arial" w:cs="Arial"/>
                <w:sz w:val="20"/>
                <w:lang w:val="sk-SK"/>
              </w:rPr>
              <w:t>abuľka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094DBF" w:rsidRPr="008E6506">
              <w:rPr>
                <w:rFonts w:ascii="Arial" w:hAnsi="Arial" w:cs="Arial"/>
                <w:sz w:val="20"/>
                <w:lang w:val="sk-SK"/>
              </w:rPr>
              <w:t>- prepočet výšky úveru (príloha č.</w:t>
            </w:r>
            <w:r w:rsidR="002D438C" w:rsidRPr="008E6506">
              <w:rPr>
                <w:rFonts w:ascii="Arial" w:hAnsi="Arial" w:cs="Arial"/>
                <w:sz w:val="20"/>
                <w:lang w:val="sk-SK"/>
              </w:rPr>
              <w:t>16</w:t>
            </w:r>
            <w:r w:rsidR="00094DBF" w:rsidRPr="008E6506">
              <w:rPr>
                <w:rFonts w:ascii="Arial" w:hAnsi="Arial" w:cs="Arial"/>
                <w:sz w:val="20"/>
                <w:lang w:val="sk-SK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E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E21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FEC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7B1C7CBD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52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DC7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343" w14:textId="77777777" w:rsidR="003371F4" w:rsidRPr="00497837" w:rsidRDefault="003371F4" w:rsidP="003371F4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bCs/>
                <w:sz w:val="20"/>
                <w:lang w:val="sk-SK"/>
              </w:rPr>
              <w:t>projektová dokumentácia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overená v stavebnom  konaní</w:t>
            </w:r>
            <w:r>
              <w:rPr>
                <w:rFonts w:ascii="Arial" w:hAnsi="Arial" w:cs="Arial"/>
                <w:sz w:val="20"/>
                <w:lang w:val="sk-SK"/>
              </w:rPr>
              <w:t xml:space="preserve"> a to:</w:t>
            </w:r>
          </w:p>
          <w:p w14:paraId="7885CD80" w14:textId="77777777" w:rsidR="003371F4" w:rsidRPr="00497837" w:rsidRDefault="003371F4" w:rsidP="003371F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prehľadná koordinačná situácia s vyznačenými bodmi napojenia jednotlivých objek</w:t>
            </w:r>
            <w:r w:rsidRPr="00497837">
              <w:rPr>
                <w:rFonts w:ascii="Arial" w:hAnsi="Arial" w:cs="Arial"/>
                <w:sz w:val="20"/>
                <w:lang w:val="sk-SK"/>
              </w:rPr>
              <w:t>tov technickej vybavenosti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k bytovému domu. V legende uviesť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dĺžky v bežných metroch</w:t>
            </w:r>
            <w:r>
              <w:rPr>
                <w:rFonts w:ascii="Arial" w:hAnsi="Arial" w:cs="Arial"/>
                <w:sz w:val="20"/>
                <w:lang w:val="sk-SK"/>
              </w:rPr>
              <w:t>, resp.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v m</w:t>
            </w:r>
            <w:r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 xml:space="preserve">  </w:t>
            </w:r>
            <w:r>
              <w:rPr>
                <w:rFonts w:ascii="Arial" w:hAnsi="Arial" w:cs="Arial"/>
                <w:sz w:val="20"/>
                <w:lang w:val="sk-SK"/>
              </w:rPr>
              <w:t>technickej vybavenosti.</w:t>
            </w:r>
          </w:p>
          <w:p w14:paraId="325A6862" w14:textId="40299160" w:rsidR="00094DBF" w:rsidRPr="008E6506" w:rsidRDefault="003371F4" w:rsidP="003371F4">
            <w:pPr>
              <w:pStyle w:val="Odsekzoznamu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projektová dokumentácia jednotlivých objektov technickej vybavenosti - </w:t>
            </w:r>
            <w:r w:rsidRPr="00497837">
              <w:rPr>
                <w:rFonts w:ascii="Arial" w:hAnsi="Arial" w:cs="Arial"/>
                <w:sz w:val="20"/>
                <w:lang w:val="sk-SK"/>
              </w:rPr>
              <w:t>technická správa</w:t>
            </w:r>
            <w:r>
              <w:rPr>
                <w:rFonts w:ascii="Arial" w:hAnsi="Arial" w:cs="Arial"/>
                <w:sz w:val="20"/>
                <w:lang w:val="sk-SK"/>
              </w:rPr>
              <w:t>, stavebné výkresy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49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F83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BB1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6B793E4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DE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7CA" w14:textId="77777777" w:rsidR="00094DBF" w:rsidRPr="008E6506" w:rsidRDefault="00094DBF" w:rsidP="00127E8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0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9" w:hanging="7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  <w:t>doklad o preukázaní odbornej spôsobilosti zhotoviteľa stavby</w:t>
            </w:r>
          </w:p>
          <w:p w14:paraId="78B17F0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9" w:hanging="7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  <w:t xml:space="preserve">- výpis z obchodného, alebo  živnostenského registra </w:t>
            </w:r>
          </w:p>
          <w:p w14:paraId="4C645CBB" w14:textId="77777777" w:rsidR="00094DBF" w:rsidRPr="008E6506" w:rsidRDefault="00094DBF" w:rsidP="00AD7B4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  <w:t xml:space="preserve">(v 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prípade obstarania technickej vybavenosti  na základe zmluvy o budúcej kúpnej zmluve)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C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FA2" w14:textId="77777777" w:rsidR="00094DBF" w:rsidRPr="008E6506" w:rsidRDefault="00653121" w:rsidP="00060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0D7" w14:textId="77777777" w:rsidR="00094DBF" w:rsidRPr="008E6506" w:rsidRDefault="00653121" w:rsidP="00C20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3FDE1D46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B1480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240E5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47715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D38D2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DB627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5C7AC1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7A2079" w:rsidRPr="006460EA" w14:paraId="457D12FD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D75" w14:textId="77777777" w:rsidR="007A2079" w:rsidRPr="00393656" w:rsidRDefault="007A2079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C17" w14:textId="13A6341F" w:rsidR="007A2079" w:rsidRPr="00393656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7A2079" w:rsidRPr="0039365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0.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F59" w14:textId="77777777" w:rsidR="007A2079" w:rsidRDefault="007A2079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a)    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>potvrdenie o podaní daňového priznania k dani z príjmov za</w:t>
            </w:r>
          </w:p>
          <w:p w14:paraId="01549FE1" w14:textId="77777777" w:rsidR="007A2079" w:rsidRDefault="007A2079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      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 xml:space="preserve"> tr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i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>bezprostredne predchádzajúce zdaňovacie obdobia</w:t>
            </w:r>
          </w:p>
          <w:p w14:paraId="26862659" w14:textId="77777777" w:rsidR="007A2079" w:rsidRDefault="007A2079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p w14:paraId="0379F33D" w14:textId="77777777" w:rsidR="007A2079" w:rsidRPr="00E60492" w:rsidRDefault="007A2079" w:rsidP="00A343E1">
            <w:pPr>
              <w:overflowPunct w:val="0"/>
              <w:autoSpaceDE w:val="0"/>
              <w:autoSpaceDN w:val="0"/>
              <w:adjustRightInd w:val="0"/>
              <w:ind w:left="520" w:hanging="425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b) </w:t>
            </w:r>
            <w:r w:rsidRPr="008F3463">
              <w:rPr>
                <w:rFonts w:ascii="Arial" w:hAnsi="Arial" w:cs="Arial"/>
                <w:sz w:val="20"/>
                <w:szCs w:val="20"/>
                <w:lang w:val="sk-SK"/>
              </w:rPr>
              <w:t>kópia daňového priznania k dani z príjmov za tri bezprostredne</w:t>
            </w:r>
            <w:r w:rsidRPr="00E60492">
              <w:rPr>
                <w:rFonts w:ascii="Arial" w:hAnsi="Arial" w:cs="Arial"/>
                <w:sz w:val="20"/>
                <w:szCs w:val="20"/>
                <w:lang w:val="sk-SK"/>
              </w:rPr>
              <w:t xml:space="preserve"> predchádzajúce zdaňovacie obdobia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0E09" w14:textId="77777777" w:rsidR="007A2079" w:rsidRPr="00C45917" w:rsidRDefault="007A2079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7188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85330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A3C17AC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52D60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AB170" w14:textId="4ABC9A91" w:rsidR="007A2079" w:rsidRDefault="007A2079" w:rsidP="00A343E1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F60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D1FF9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14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C407516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8C0D4" w14:textId="77777777" w:rsidR="007A2079" w:rsidRDefault="007A2079" w:rsidP="00A34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A7E53" w14:textId="42800E42" w:rsidR="007A2079" w:rsidRDefault="007A2079" w:rsidP="00A343E1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A2079" w:rsidRPr="006460EA" w14:paraId="0EBC4165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FC5" w14:textId="77777777" w:rsidR="007A2079" w:rsidRPr="00393656" w:rsidRDefault="007A2079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CEE" w14:textId="7209E916" w:rsidR="007A2079" w:rsidRPr="00393656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7A2079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3AD" w14:textId="77777777" w:rsidR="007A2079" w:rsidRPr="00AE5EE2" w:rsidRDefault="007A2079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ročné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účtovné závierky za tri bezprostredne predchádzajúce zdaňovacie obdobia (vrátane poznámok k účtovnej závierke) zhodné s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 ročnými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účtovnými závierkami a poznámkami doručenými správcovi dane a uloženými v registri podľa Zákona č. 431/2002 Z.z. o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účtovníctve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v znení neskorších predpisov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5D4" w14:textId="77777777" w:rsidR="007A2079" w:rsidRPr="00C45917" w:rsidRDefault="007A2079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BF6A" w14:textId="77777777" w:rsidR="007A2079" w:rsidRPr="00C45917" w:rsidRDefault="007A2079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C9B" w14:textId="77777777" w:rsidR="007A2079" w:rsidRPr="00C45917" w:rsidRDefault="007A2079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5EA6874F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D96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B324" w14:textId="0CEC9EBA" w:rsidR="008F50A3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923" w14:textId="543C5C55" w:rsidR="008F50A3" w:rsidRPr="00AE5EE2" w:rsidDel="008334E2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čestné vyhlásenie žiadateľa (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úradne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 xml:space="preserve">overené), že predložené účtovné závierky sú zhodné s účtovnými závierkami a poznámkami doručenými správcovi dane a uloženými v registri podľa Zákona č. 431/2002 Z.z. o účtovníctve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v znení neskorších predpisov 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(</w:t>
            </w:r>
            <w:r w:rsidR="000C40ED">
              <w:rPr>
                <w:rFonts w:ascii="Arial" w:hAnsi="Arial" w:cs="Arial"/>
                <w:sz w:val="20"/>
                <w:szCs w:val="20"/>
                <w:lang w:val="sk-SK"/>
              </w:rPr>
              <w:t>príloha č. 3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47C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BAC3" w14:textId="77777777" w:rsidR="008F50A3" w:rsidRPr="00C45917" w:rsidRDefault="008F50A3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89C8" w14:textId="77777777" w:rsidR="008F50A3" w:rsidRPr="00C45917" w:rsidRDefault="008F50A3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47A6A440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0BE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A35" w14:textId="352C1422" w:rsidR="008F50A3" w:rsidRPr="00393656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 w:rsidRPr="0039365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D48" w14:textId="256F82A9" w:rsidR="008F50A3" w:rsidRPr="00AE5EE2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štruktúra krátkodobých záväzkov a pohľadávok z obchodného styku k ultimu bezprostredne predchádzajúceho zdaňovacieho obd</w:t>
            </w:r>
            <w:r w:rsidR="000C40ED">
              <w:rPr>
                <w:rFonts w:ascii="Arial" w:hAnsi="Arial" w:cs="Arial"/>
                <w:sz w:val="20"/>
                <w:szCs w:val="20"/>
                <w:lang w:val="sk-SK"/>
              </w:rPr>
              <w:t>obia (príloha č. 3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EAD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5C9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26F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449D2A74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029D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394B" w14:textId="4CF0F4FF" w:rsidR="008F50A3" w:rsidRPr="00393656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08B" w14:textId="46C6EA7F" w:rsidR="008F50A3" w:rsidRPr="00AE5EE2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C40ED">
              <w:rPr>
                <w:rFonts w:ascii="Arial" w:hAnsi="Arial" w:cs="Arial"/>
                <w:sz w:val="20"/>
                <w:szCs w:val="20"/>
              </w:rPr>
              <w:t>odnikateľský zámer (príloha č. 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E5EE2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E1DF65C" w14:textId="77777777" w:rsidR="008F50A3" w:rsidRPr="00AE5EE2" w:rsidRDefault="008F50A3" w:rsidP="008F50A3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EE2">
              <w:rPr>
                <w:rFonts w:ascii="Arial" w:hAnsi="Arial" w:cs="Arial"/>
                <w:sz w:val="20"/>
                <w:szCs w:val="20"/>
              </w:rPr>
              <w:t>Základná charakteristika súčasného stavu spoločnosti</w:t>
            </w:r>
          </w:p>
          <w:p w14:paraId="6E80F44C" w14:textId="77777777" w:rsidR="008F50A3" w:rsidRPr="00AE5EE2" w:rsidRDefault="008F50A3" w:rsidP="008F50A3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Opis podnikateľského zámeru (projektu)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EF62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7279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6B4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6FDA639F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D6B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9470" w14:textId="69400AEC" w:rsidR="008F50A3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C1D" w14:textId="0A33F1CC" w:rsidR="008F50A3" w:rsidRPr="00AE5EE2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finančný plán projektu (cash-flow) na obdobie  doby splatnosti úveru vrátane zapracovania úverovej zaťaženosti vyplývajúcej z požadovaného úveru, preukazujúci schopnosť splácania istiny a úrokov z úveru v dohodnutej výške a dohodnutom splátkovom kalendári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EC6D25">
              <w:rPr>
                <w:rFonts w:ascii="Arial" w:hAnsi="Arial" w:cs="Arial"/>
                <w:sz w:val="20"/>
                <w:szCs w:val="20"/>
                <w:lang w:val="sk-SK"/>
              </w:rPr>
              <w:t xml:space="preserve"> (príloha č. 35)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8CB1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912" w14:textId="77777777" w:rsidR="008F50A3" w:rsidRPr="00C45917" w:rsidRDefault="008F50A3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280D" w14:textId="77777777" w:rsidR="008F50A3" w:rsidRPr="00C45917" w:rsidRDefault="008F50A3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76A695AA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AFFE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609" w14:textId="08ADBDB6" w:rsidR="008F50A3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B0B" w14:textId="77777777" w:rsidR="008F50A3" w:rsidRPr="00AE5EE2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E5EE2">
              <w:rPr>
                <w:rFonts w:ascii="Arial" w:hAnsi="Arial" w:cs="Arial"/>
                <w:sz w:val="20"/>
                <w:szCs w:val="20"/>
                <w:lang w:val="sk-SK"/>
              </w:rPr>
              <w:t>projekcia účtovnej závierky na bezprostredne nasledujúce 3 zdaňovacie obdobia so zapracovaným finančným plánom projektu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CB52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D6B7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0B9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062ACC65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081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578A" w14:textId="7E7D7F4D" w:rsidR="008F50A3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7.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1E2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 xml:space="preserve">potvrdenie financujúcej banky, resp. bánk o splácaní úverov a pôžičiek (viď vysvetlivky) vrátane čestného prehlásenia žiadateľa, </w:t>
            </w:r>
            <w:r w:rsidRPr="00C45917">
              <w:rPr>
                <w:rFonts w:ascii="Arial" w:hAnsi="Arial" w:cs="Arial"/>
                <w:sz w:val="20"/>
                <w:szCs w:val="20"/>
              </w:rPr>
              <w:t>že predložil potvrdenia zo všetkých bánk, v ktorých má vedené účty (vzťahuje sa i na nebankové subjekty)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EB3E" w14:textId="77777777" w:rsidR="008F50A3" w:rsidRPr="00C45917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45917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6CE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6C0" w14:textId="77777777" w:rsidR="008F50A3" w:rsidRPr="00C45917" w:rsidRDefault="008F50A3" w:rsidP="00A343E1">
            <w:pPr>
              <w:spacing w:line="276" w:lineRule="auto"/>
              <w:jc w:val="center"/>
              <w:rPr>
                <w:lang w:val="sk-SK"/>
              </w:rPr>
            </w:pP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C45917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8F50A3" w:rsidRPr="006460EA" w14:paraId="5A69D506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D99" w14:textId="77777777" w:rsidR="008F50A3" w:rsidRPr="00393656" w:rsidRDefault="008F50A3" w:rsidP="00A343E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D52F" w14:textId="5180152D" w:rsidR="008F50A3" w:rsidRDefault="000C40ED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="008F50A3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8.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44E" w14:textId="77777777" w:rsidR="008F50A3" w:rsidRPr="00DA5AA3" w:rsidRDefault="008F50A3" w:rsidP="00A343E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A5AA3">
              <w:rPr>
                <w:rFonts w:ascii="Arial" w:hAnsi="Arial" w:cs="Arial"/>
                <w:sz w:val="20"/>
                <w:szCs w:val="20"/>
              </w:rPr>
              <w:t>výpis z registra bankových úverov a záruk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7213" w14:textId="77777777" w:rsidR="008F50A3" w:rsidRDefault="008F50A3" w:rsidP="00A343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F4C" w14:textId="77777777" w:rsidR="008F50A3" w:rsidRPr="006460EA" w:rsidRDefault="008F50A3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984" w14:textId="77777777" w:rsidR="008F50A3" w:rsidRPr="006460EA" w:rsidRDefault="008F50A3" w:rsidP="00A343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416432C1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0FBC2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B142B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5827B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F85FC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7F86B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6045D8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143455F7" w14:textId="77777777" w:rsidTr="00F258C5">
        <w:trPr>
          <w:trHeight w:val="7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BF44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7EDD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51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14:paraId="4AF5B720" w14:textId="77777777" w:rsidR="00094DBF" w:rsidRPr="008E6506" w:rsidRDefault="00094DBF" w:rsidP="00296B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- znalecký posudok na ocenenie nehnuteľností, ktoré budú predmetom záložného práva (nie starší ako 3 mesiace)</w:t>
            </w:r>
            <w:r w:rsidRPr="008E6506">
              <w:rPr>
                <w:rFonts w:ascii="Arial" w:hAnsi="Arial" w:cs="Arial"/>
                <w:b/>
                <w:sz w:val="20"/>
                <w:lang w:val="sk-SK"/>
              </w:rPr>
              <w:t xml:space="preserve">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C4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278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008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CF17F9E" w14:textId="77777777" w:rsidTr="00F258C5">
        <w:trPr>
          <w:trHeight w:val="516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29D2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B26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D61" w14:textId="77777777" w:rsidR="00094DBF" w:rsidRDefault="00094DBF" w:rsidP="0093702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- výpis z listu vlastníctva k predmetu záložného práva (nie starší ako 3 mesiace)</w:t>
            </w:r>
            <w:r w:rsidRPr="008E6506">
              <w:rPr>
                <w:rFonts w:ascii="Arial" w:hAnsi="Arial" w:cs="Arial"/>
                <w:b/>
                <w:color w:val="000000"/>
                <w:sz w:val="20"/>
                <w:lang w:val="sk-SK"/>
              </w:rPr>
              <w:t xml:space="preserve"> </w:t>
            </w:r>
            <w:r w:rsidRPr="008E6506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- akceptuje sa  aj z katastrálneho portálu</w:t>
            </w:r>
          </w:p>
          <w:p w14:paraId="623F7C45" w14:textId="24501648" w:rsidR="00624A9B" w:rsidRPr="008E6506" w:rsidRDefault="00624A9B" w:rsidP="0093702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F81BD"/>
                <w:sz w:val="20"/>
                <w:szCs w:val="20"/>
                <w:lang w:val="sk-SK"/>
              </w:rPr>
            </w:pPr>
            <w:r w:rsidRPr="00F258C5">
              <w:rPr>
                <w:rFonts w:ascii="Arial" w:hAnsi="Arial" w:cs="Arial"/>
                <w:sz w:val="20"/>
                <w:szCs w:val="20"/>
                <w:lang w:val="sk-SK"/>
              </w:rPr>
              <w:t>- výpis z listu vlastníctva k priľahlým pozemkom zabezpečujúcim prístup k verejnej komunikácii (</w:t>
            </w:r>
            <w:r w:rsidRPr="00F258C5">
              <w:rPr>
                <w:rFonts w:ascii="Arial" w:hAnsi="Arial" w:cs="Arial"/>
                <w:sz w:val="20"/>
                <w:lang w:val="sk-SK"/>
              </w:rPr>
              <w:t>nie starší ako 3 mesiace)</w:t>
            </w:r>
            <w:r w:rsidRPr="00F258C5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F258C5">
              <w:rPr>
                <w:rFonts w:ascii="Arial" w:hAnsi="Arial" w:cs="Arial"/>
                <w:sz w:val="20"/>
                <w:szCs w:val="20"/>
                <w:lang w:val="sk-SK"/>
              </w:rPr>
              <w:t>- akceptuje sa  aj z katastrálneho portálu (</w:t>
            </w:r>
            <w:r w:rsidR="00005994" w:rsidRPr="00F258C5">
              <w:rPr>
                <w:rFonts w:ascii="Arial" w:hAnsi="Arial" w:cs="Arial"/>
                <w:sz w:val="20"/>
                <w:szCs w:val="20"/>
                <w:lang w:val="sk-SK"/>
              </w:rPr>
              <w:t xml:space="preserve">dokladuje sa </w:t>
            </w:r>
            <w:r w:rsidRPr="00F258C5">
              <w:rPr>
                <w:rFonts w:ascii="Arial" w:hAnsi="Arial" w:cs="Arial"/>
                <w:sz w:val="20"/>
                <w:szCs w:val="20"/>
                <w:lang w:val="sk-SK"/>
              </w:rPr>
              <w:t>v prípade založenia inej stavby</w:t>
            </w:r>
            <w:r w:rsidR="008A11FC" w:rsidRPr="00F258C5">
              <w:rPr>
                <w:rFonts w:ascii="Arial" w:hAnsi="Arial" w:cs="Arial"/>
                <w:sz w:val="20"/>
                <w:szCs w:val="20"/>
                <w:lang w:val="sk-SK"/>
              </w:rPr>
              <w:t xml:space="preserve"> – viď vysvetlivky</w:t>
            </w:r>
            <w:r w:rsidRPr="00F258C5"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A05" w14:textId="77777777" w:rsidR="00094DBF" w:rsidRPr="008E6506" w:rsidRDefault="002F2D1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B52" w14:textId="77777777" w:rsidR="00094DBF" w:rsidRPr="008E6506" w:rsidRDefault="00653121" w:rsidP="006C3C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E5" w14:textId="77777777" w:rsidR="00094DBF" w:rsidRPr="008E6506" w:rsidRDefault="00653121" w:rsidP="006C3C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1EABAF68" w14:textId="77777777" w:rsidTr="00F258C5">
        <w:trPr>
          <w:trHeight w:val="1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9A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46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9FC" w14:textId="39D3A59E" w:rsidR="00094DBF" w:rsidRPr="007E7603" w:rsidRDefault="00094DBF" w:rsidP="00F258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poistná zmluva dokladujúca poistenie nehnuteľnosti pre prípad následkov živelných udalostí vrátane potvrdenia o úhrade poistného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8F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9927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611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4EFD32E4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B7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766" w14:textId="77777777" w:rsidR="00094DBF" w:rsidRPr="008E6506" w:rsidRDefault="00094DBF" w:rsidP="00C806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42.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E7F" w14:textId="77777777" w:rsidR="001A16AF" w:rsidRDefault="003A269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alebo </w:t>
            </w:r>
          </w:p>
          <w:p w14:paraId="0B72B20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14:paraId="4A25767D" w14:textId="77777777" w:rsidR="00094DBF" w:rsidRPr="008E6506" w:rsidRDefault="00094DBF" w:rsidP="00C80642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záväzný písomný prísľub banky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alebo zmluva o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poskytnutí bankovej záruky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41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A0D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C37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6D2D511F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56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328" w14:textId="77777777" w:rsidR="00094DBF" w:rsidRPr="008E6506" w:rsidRDefault="00094DBF" w:rsidP="00C806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43.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298" w14:textId="22C2179B" w:rsidR="00094DBF" w:rsidRPr="00F258C5" w:rsidRDefault="00624A9B" w:rsidP="008557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F258C5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že žiadateľ podáva žiadosť  na základe zmluvy o budúcej kúpnej zmluve, nie je potrebné k podaniu žiadosti dokladovať zabezpečenie záväzkov, ale prílohou žiadosti je súhlas štatutárneho orgánu žiadateľa, </w:t>
            </w:r>
            <w:r w:rsidR="003371F4" w:rsidRPr="00F258C5">
              <w:rPr>
                <w:rFonts w:ascii="Arial" w:hAnsi="Arial" w:cs="Arial"/>
                <w:sz w:val="20"/>
                <w:szCs w:val="20"/>
                <w:lang w:val="sk-SK"/>
              </w:rPr>
              <w:t>že predmetom záložného práva budú súvisiace obstarávané nájomné byty a prípadne aj iná akceptovateľná nehnuteľnosť tak, aby celková hodnota zabezpečenia dosahovala 1,3 násobok požadovaného úveru.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9F" w14:textId="77777777" w:rsidR="00094DBF" w:rsidRPr="008E6506" w:rsidRDefault="002F2D1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AC4" w14:textId="77777777" w:rsidR="00094DBF" w:rsidRPr="008E6506" w:rsidRDefault="00653121" w:rsidP="00060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92C" w14:textId="77777777" w:rsidR="00094DBF" w:rsidRPr="008E6506" w:rsidRDefault="00653121" w:rsidP="00C20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6BF7C4F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8E011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CC4EF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FED09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F. Preukázanie splnenia podmienok podľa § 9 zákona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962AA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EECF5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94F674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3C6CC673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1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F53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53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Sociálnej poisťovne ,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DB7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76D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498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62C90A2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B5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FF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55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zdravotnej poisťovne, 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zdravotné poistenie  (nie starší ako 3 mes.)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3BF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4123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897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1C4F77B5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04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4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ECA" w14:textId="77777777" w:rsidR="00094DBF" w:rsidRPr="008E6506" w:rsidRDefault="00094DBF" w:rsidP="00723E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potvrdenie správcu dane, že neeviduje voči žiadateľovi</w:t>
            </w:r>
            <w:r w:rsidRPr="008E6506">
              <w:rPr>
                <w:rFonts w:ascii="Arial" w:hAnsi="Arial" w:cs="Arial"/>
                <w:color w:val="0000FF"/>
                <w:sz w:val="20"/>
                <w:lang w:val="sk-SK"/>
              </w:rPr>
              <w:t xml:space="preserve"> 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daňové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nedoplatky (nie starší ako 3 mes.)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AA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4865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5C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0DF4F9FA" w14:textId="77777777" w:rsidTr="00F258C5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CC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60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6FD" w14:textId="77777777" w:rsidR="00094DBF" w:rsidRPr="008E6506" w:rsidRDefault="00094DBF" w:rsidP="000604B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217" w14:textId="77777777" w:rsidR="00094DBF" w:rsidRPr="008E6506" w:rsidRDefault="00094DBF" w:rsidP="000604B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8E6506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F73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979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24A9B" w14:paraId="5074793A" w14:textId="77777777" w:rsidTr="00F258C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D379E" w14:textId="77777777" w:rsidR="00624A9B" w:rsidRDefault="00624A9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9BA11C" w14:textId="77777777" w:rsidR="00624A9B" w:rsidRDefault="00624A9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807A8E" w14:textId="77777777" w:rsidR="00624A9B" w:rsidRDefault="00624A9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b/>
                <w:bCs/>
                <w:lang w:val="sk-SK"/>
              </w:rPr>
              <w:t xml:space="preserve">G. </w:t>
            </w:r>
            <w:r>
              <w:rPr>
                <w:rFonts w:ascii="Arial" w:hAnsi="Arial" w:cs="Arial"/>
                <w:b/>
                <w:lang w:val="sk-SK"/>
              </w:rPr>
              <w:t>Ďalšie doklady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EA42B9" w14:textId="77777777" w:rsidR="00624A9B" w:rsidRDefault="00624A9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0E8255" w14:textId="77777777" w:rsidR="00624A9B" w:rsidRDefault="00624A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AAE087" w14:textId="77777777" w:rsidR="00624A9B" w:rsidRDefault="00624A9B">
            <w:pPr>
              <w:pStyle w:val="Pta"/>
              <w:tabs>
                <w:tab w:val="left" w:pos="708"/>
              </w:tabs>
              <w:spacing w:line="276" w:lineRule="auto"/>
              <w:rPr>
                <w:rFonts w:ascii="Arial" w:hAnsi="Arial" w:cs="Arial"/>
                <w:lang w:val="sk-SK"/>
              </w:rPr>
            </w:pPr>
          </w:p>
        </w:tc>
      </w:tr>
      <w:tr w:rsidR="00512972" w:rsidRPr="00F258C5" w14:paraId="5D4C0C0C" w14:textId="77777777" w:rsidTr="00624A9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679" w14:textId="77777777" w:rsidR="00512972" w:rsidRPr="00F258C5" w:rsidRDefault="0051297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4542" w14:textId="4977189A" w:rsidR="00512972" w:rsidRDefault="00512972" w:rsidP="001F40E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60.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500" w14:textId="13F71D69" w:rsidR="00512972" w:rsidRPr="00F258C5" w:rsidRDefault="00512972" w:rsidP="001F40E7">
            <w:pPr>
              <w:pStyle w:val="Pta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A23BDA">
              <w:rPr>
                <w:rFonts w:ascii="Arial" w:hAnsi="Arial" w:cs="Arial"/>
                <w:lang w:val="sk-SK"/>
              </w:rPr>
              <w:t>vyhlásenie žiadateľa pre účely posúdenia Štátnej pomoci / de minimis (</w:t>
            </w:r>
            <w:r>
              <w:rPr>
                <w:rFonts w:ascii="Arial" w:hAnsi="Arial" w:cs="Arial"/>
                <w:lang w:val="sk-SK"/>
              </w:rPr>
              <w:t>príloha č. 60</w:t>
            </w:r>
            <w:r w:rsidRPr="00A23BDA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365" w14:textId="0A30109A" w:rsidR="00512972" w:rsidRPr="00F258C5" w:rsidRDefault="00512972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B7C" w14:textId="01CA8FAB" w:rsidR="00512972" w:rsidRPr="00F258C5" w:rsidRDefault="0051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58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A98" w14:textId="52F65774" w:rsidR="00512972" w:rsidRPr="00F258C5" w:rsidRDefault="00512972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8C5">
              <w:rPr>
                <w:rFonts w:ascii="Arial" w:hAnsi="Arial" w:cs="Arial"/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C5">
              <w:rPr>
                <w:rFonts w:ascii="Arial" w:hAnsi="Arial" w:cs="Arial"/>
                <w:b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</w:rPr>
            </w:r>
            <w:r w:rsidR="005E7F65">
              <w:rPr>
                <w:rFonts w:ascii="Arial" w:hAnsi="Arial" w:cs="Arial"/>
                <w:b/>
              </w:rPr>
              <w:fldChar w:fldCharType="separate"/>
            </w:r>
            <w:r w:rsidRPr="00F258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258C5" w:rsidRPr="00F258C5" w14:paraId="3FAF3919" w14:textId="77777777" w:rsidTr="00624A9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7FC" w14:textId="77777777" w:rsidR="00624A9B" w:rsidRPr="00F258C5" w:rsidRDefault="00624A9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319C" w14:textId="502F9B39" w:rsidR="00624A9B" w:rsidRPr="00F258C5" w:rsidRDefault="001F40E7" w:rsidP="005129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</w:t>
            </w:r>
            <w:r w:rsidR="00512972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</w:t>
            </w:r>
            <w:r w:rsidR="00624A9B" w:rsidRPr="00F258C5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F6F4" w14:textId="01190CB6" w:rsidR="00624A9B" w:rsidRPr="00F258C5" w:rsidRDefault="00624A9B" w:rsidP="001F40E7">
            <w:pPr>
              <w:pStyle w:val="Pta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F258C5">
              <w:rPr>
                <w:rFonts w:ascii="Arial" w:hAnsi="Arial" w:cs="Arial"/>
                <w:lang w:val="sk-SK"/>
              </w:rPr>
              <w:t xml:space="preserve">vyhlásenie žiadateľa ohľadne povinnosti zápisu do Registra partnerov verejného sektora v súlade so zákonom. č. 315/2016 Z.z. o registri partnerov verejného sektora (príloha č. </w:t>
            </w:r>
            <w:r w:rsidR="001F40E7">
              <w:rPr>
                <w:rFonts w:ascii="Arial" w:hAnsi="Arial" w:cs="Arial"/>
                <w:lang w:val="sk-SK"/>
              </w:rPr>
              <w:t>60</w:t>
            </w:r>
            <w:r w:rsidRPr="00F258C5">
              <w:rPr>
                <w:rFonts w:ascii="Arial" w:hAnsi="Arial" w:cs="Arial"/>
                <w:lang w:val="sk-SK"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BAD8" w14:textId="77777777" w:rsidR="00624A9B" w:rsidRPr="00F258C5" w:rsidRDefault="00624A9B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F258C5">
              <w:rPr>
                <w:rFonts w:ascii="Arial" w:hAnsi="Arial" w:cs="Arial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BFE5" w14:textId="77777777" w:rsidR="00624A9B" w:rsidRPr="00F258C5" w:rsidRDefault="00624A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8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</w:r>
            <w:r w:rsidR="005E7F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258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7C59" w14:textId="77777777" w:rsidR="00624A9B" w:rsidRPr="00F258C5" w:rsidRDefault="00624A9B">
            <w:pPr>
              <w:pStyle w:val="Pt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258C5">
              <w:rPr>
                <w:rFonts w:ascii="Arial" w:hAnsi="Arial" w:cs="Arial"/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8C5">
              <w:rPr>
                <w:rFonts w:ascii="Arial" w:hAnsi="Arial" w:cs="Arial"/>
                <w:b/>
              </w:rPr>
              <w:instrText xml:space="preserve"> FORMCHECKBOX </w:instrText>
            </w:r>
            <w:r w:rsidR="005E7F65">
              <w:rPr>
                <w:rFonts w:ascii="Arial" w:hAnsi="Arial" w:cs="Arial"/>
                <w:b/>
              </w:rPr>
            </w:r>
            <w:r w:rsidR="005E7F65">
              <w:rPr>
                <w:rFonts w:ascii="Arial" w:hAnsi="Arial" w:cs="Arial"/>
                <w:b/>
              </w:rPr>
              <w:fldChar w:fldCharType="separate"/>
            </w:r>
            <w:r w:rsidRPr="00F258C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269855" w14:textId="77777777" w:rsidR="00E95A4F" w:rsidRPr="008E6506" w:rsidRDefault="00E95A4F" w:rsidP="000604B7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  <w:lang w:val="sk-SK"/>
        </w:rPr>
      </w:pPr>
    </w:p>
    <w:p w14:paraId="05AEA450" w14:textId="77777777" w:rsidR="008D14C8" w:rsidRPr="008E6506" w:rsidRDefault="008D14C8" w:rsidP="000604B7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14:paraId="17E243B8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18"/>
          <w:szCs w:val="18"/>
          <w:lang w:val="sk-SK"/>
        </w:rPr>
        <w:t>originál</w:t>
      </w:r>
    </w:p>
    <w:p w14:paraId="5E4C953A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originál alebo úradne osvedčená kópia alebo kópia, ktorej zhodu s originálom vyznačí zamestnanec  okresného úradu v sídle okresu</w:t>
      </w:r>
      <w:r w:rsidR="00B9735D" w:rsidRPr="008E6506">
        <w:rPr>
          <w:rFonts w:ascii="Arial" w:hAnsi="Arial" w:cs="Arial"/>
          <w:color w:val="000000"/>
          <w:sz w:val="18"/>
          <w:szCs w:val="18"/>
          <w:lang w:val="sk-SK"/>
        </w:rPr>
        <w:t xml:space="preserve">  textom „súhlasí s originálom“</w:t>
      </w:r>
    </w:p>
    <w:p w14:paraId="3B05B26E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správne označte krížikom</w:t>
      </w:r>
    </w:p>
    <w:p w14:paraId="649AF010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pracovník okresného úradu po</w:t>
      </w:r>
      <w:r w:rsidR="00907790">
        <w:rPr>
          <w:rFonts w:ascii="Arial" w:hAnsi="Arial" w:cs="Arial"/>
          <w:color w:val="000000"/>
          <w:sz w:val="18"/>
          <w:szCs w:val="18"/>
          <w:lang w:val="sk-SK"/>
        </w:rPr>
        <w:t>t</w:t>
      </w:r>
      <w:r w:rsidRPr="008E6506">
        <w:rPr>
          <w:rFonts w:ascii="Arial" w:hAnsi="Arial" w:cs="Arial"/>
          <w:color w:val="000000"/>
          <w:sz w:val="18"/>
          <w:szCs w:val="18"/>
          <w:lang w:val="sk-SK"/>
        </w:rPr>
        <w:t>vrdí krížikom, že uvedené prílohy sú priložené k žiadosti</w:t>
      </w:r>
    </w:p>
    <w:p w14:paraId="26F8884E" w14:textId="77777777" w:rsidR="00C36277" w:rsidRPr="00CA317C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kontrola ŠFRB</w:t>
      </w:r>
    </w:p>
    <w:p w14:paraId="312B739F" w14:textId="77777777" w:rsidR="00CA317C" w:rsidRPr="00CA317C" w:rsidRDefault="00CA317C" w:rsidP="00CA317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CA317C">
        <w:rPr>
          <w:rFonts w:ascii="Arial" w:hAnsi="Arial" w:cs="Arial"/>
          <w:bCs/>
          <w:sz w:val="18"/>
          <w:szCs w:val="18"/>
          <w:lang w:val="sk-SK"/>
        </w:rPr>
        <w:t>ŠFRB akceptuje aj elektronické úradné dokumenty opatrené elektronickou pečaťou a elektronickým podpisom.</w:t>
      </w:r>
    </w:p>
    <w:p w14:paraId="22699806" w14:textId="77777777" w:rsidR="00F55F5A" w:rsidRPr="008E6506" w:rsidRDefault="00F55F5A" w:rsidP="00007A6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007A6B" w:rsidRPr="008E6506" w14:paraId="183B9260" w14:textId="77777777" w:rsidTr="00BA071C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492" w14:textId="77777777" w:rsidR="00007A6B" w:rsidRPr="008E6506" w:rsidRDefault="00007A6B" w:rsidP="00BA07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Meno overovateľa žiadosti (príslušného pracovníka okresného úradu)</w:t>
            </w:r>
          </w:p>
          <w:p w14:paraId="5B286F70" w14:textId="77777777" w:rsidR="00007A6B" w:rsidRPr="008E6506" w:rsidRDefault="00007A6B" w:rsidP="00BA07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2D4" w14:textId="77777777" w:rsidR="00007A6B" w:rsidRPr="008E6506" w:rsidRDefault="00007A6B" w:rsidP="00BA07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Podpis</w:t>
            </w:r>
          </w:p>
        </w:tc>
      </w:tr>
    </w:tbl>
    <w:p w14:paraId="406B1ACE" w14:textId="77777777" w:rsidR="00007A6B" w:rsidRPr="008E6506" w:rsidRDefault="00007A6B" w:rsidP="00F55F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7D3548" w:rsidRPr="008E6506" w14:paraId="15E7A940" w14:textId="77777777" w:rsidTr="007D3548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7EF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14:paraId="059EC9A2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7A9FE5B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ACDF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14:paraId="7354C59A" w14:textId="77777777" w:rsidR="007D3548" w:rsidRDefault="007D3548" w:rsidP="007D3548">
      <w:pPr>
        <w:overflowPunct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8DC474F" w14:textId="77777777" w:rsidR="00F258C5" w:rsidRDefault="00F258C5" w:rsidP="007D3548">
      <w:pPr>
        <w:overflowPunct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5A8A6B3" w14:textId="77777777" w:rsidR="00F258C5" w:rsidRDefault="00F258C5" w:rsidP="007D3548">
      <w:pPr>
        <w:overflowPunct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62D9E7B" w14:textId="77777777" w:rsidR="008D14C8" w:rsidRPr="008E6506" w:rsidRDefault="008D14C8" w:rsidP="000604B7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>Vysvetlivky k prílohám:</w:t>
      </w:r>
    </w:p>
    <w:p w14:paraId="4AE759FB" w14:textId="77777777" w:rsidR="00ED05BE" w:rsidRDefault="00ED05BE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7F805BAA" w14:textId="77777777" w:rsidR="00ED05BE" w:rsidRPr="00770BEA" w:rsidRDefault="00ED05BE" w:rsidP="00ED05BE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Pr="00770BEA">
        <w:rPr>
          <w:rFonts w:ascii="Arial" w:hAnsi="Arial" w:cs="Arial"/>
          <w:b/>
          <w:sz w:val="20"/>
          <w:szCs w:val="20"/>
          <w:u w:val="single"/>
          <w:lang w:val="sk-SK"/>
        </w:rPr>
        <w:t>ríloha 1.</w:t>
      </w:r>
    </w:p>
    <w:p w14:paraId="7A498523" w14:textId="77777777" w:rsidR="00ED05BE" w:rsidRDefault="00ED05BE" w:rsidP="00ED05BE">
      <w:pPr>
        <w:jc w:val="both"/>
        <w:rPr>
          <w:rFonts w:ascii="Arial" w:hAnsi="Arial" w:cs="Arial"/>
          <w:sz w:val="20"/>
          <w:szCs w:val="20"/>
          <w:lang w:val="sk-SK"/>
        </w:rPr>
      </w:pPr>
      <w:r w:rsidRPr="00AC0BC7">
        <w:rPr>
          <w:rFonts w:ascii="Arial" w:hAnsi="Arial" w:cs="Arial"/>
          <w:sz w:val="20"/>
          <w:szCs w:val="20"/>
          <w:lang w:val="sk-SK"/>
        </w:rPr>
        <w:t>Oprávneným žiadateľom je</w:t>
      </w:r>
      <w:r>
        <w:rPr>
          <w:rFonts w:ascii="Arial" w:hAnsi="Arial" w:cs="Arial"/>
          <w:sz w:val="20"/>
          <w:szCs w:val="20"/>
          <w:lang w:val="sk-SK"/>
        </w:rPr>
        <w:t xml:space="preserve"> iná právnická osoba so sídlom na území Slovenskej republiky, ktorá vznikla aspoň päť rokov pred podaním žiadosti.</w:t>
      </w:r>
    </w:p>
    <w:p w14:paraId="2D2689F3" w14:textId="77777777" w:rsidR="00F05722" w:rsidRPr="008E6506" w:rsidRDefault="00F05722" w:rsidP="000604B7">
      <w:pPr>
        <w:tabs>
          <w:tab w:val="left" w:pos="110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</w:p>
    <w:p w14:paraId="6816E559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Príloha 1</w:t>
      </w:r>
      <w:r w:rsidR="00763CAE" w:rsidRPr="008E6506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4</w:t>
      </w:r>
      <w:r w:rsidRPr="008E6506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.</w:t>
      </w:r>
    </w:p>
    <w:p w14:paraId="516964C4" w14:textId="77777777" w:rsidR="000604B7" w:rsidRPr="008E6506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Kúpna zmluva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566AF8" w:rsidRPr="008E6506">
        <w:rPr>
          <w:rFonts w:ascii="Arial" w:hAnsi="Arial" w:cs="Arial"/>
          <w:sz w:val="20"/>
          <w:szCs w:val="20"/>
          <w:lang w:val="sk-SK"/>
        </w:rPr>
        <w:t xml:space="preserve">by mala </w:t>
      </w:r>
      <w:r w:rsidRPr="008E6506">
        <w:rPr>
          <w:rFonts w:ascii="Arial" w:hAnsi="Arial" w:cs="Arial"/>
          <w:sz w:val="20"/>
          <w:szCs w:val="20"/>
          <w:lang w:val="sk-SK"/>
        </w:rPr>
        <w:t>obsahovať najmä:</w:t>
      </w:r>
    </w:p>
    <w:p w14:paraId="534BA073" w14:textId="77777777" w:rsidR="000604B7" w:rsidRPr="008E6506" w:rsidRDefault="000604B7" w:rsidP="00060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identifikačné údaje zmluvných strán predávajúceho </w:t>
      </w:r>
      <w:r w:rsidR="00B70621" w:rsidRPr="008E6506">
        <w:rPr>
          <w:rFonts w:ascii="Arial" w:hAnsi="Arial" w:cs="Arial"/>
          <w:sz w:val="20"/>
          <w:szCs w:val="20"/>
          <w:lang w:val="sk-SK"/>
        </w:rPr>
        <w:t>(stavebníka</w:t>
      </w:r>
      <w:r w:rsidR="00405CC2" w:rsidRPr="008E6506">
        <w:rPr>
          <w:rFonts w:ascii="Arial" w:hAnsi="Arial" w:cs="Arial"/>
          <w:sz w:val="20"/>
          <w:szCs w:val="20"/>
          <w:lang w:val="sk-SK"/>
        </w:rPr>
        <w:t xml:space="preserve"> uvedeného v kolaudačnom rozhodnutí</w:t>
      </w:r>
      <w:r w:rsidR="00B70621" w:rsidRPr="008E6506">
        <w:rPr>
          <w:rFonts w:ascii="Arial" w:hAnsi="Arial" w:cs="Arial"/>
          <w:sz w:val="20"/>
          <w:szCs w:val="20"/>
          <w:lang w:val="sk-SK"/>
        </w:rPr>
        <w:t xml:space="preserve">)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a kupujúceho (</w:t>
      </w:r>
      <w:r w:rsidR="0086433B" w:rsidRPr="008E6506">
        <w:rPr>
          <w:rFonts w:ascii="Arial" w:hAnsi="Arial" w:cs="Arial"/>
          <w:sz w:val="20"/>
          <w:szCs w:val="20"/>
          <w:lang w:val="sk-SK"/>
        </w:rPr>
        <w:t>žiadateľ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) </w:t>
      </w:r>
    </w:p>
    <w:p w14:paraId="17572F2D" w14:textId="77777777" w:rsidR="00405CC2" w:rsidRPr="008E6506" w:rsidRDefault="000604B7" w:rsidP="00405C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predmet zmluvy - </w:t>
      </w:r>
      <w:r w:rsidR="00405CC2" w:rsidRPr="008E6506">
        <w:rPr>
          <w:rFonts w:ascii="Arial" w:hAnsi="Arial" w:cs="Arial"/>
          <w:sz w:val="20"/>
          <w:szCs w:val="20"/>
          <w:lang w:val="sk-SK"/>
        </w:rPr>
        <w:t>v súlade s kolaudačným rozhodnutím</w:t>
      </w:r>
    </w:p>
    <w:p w14:paraId="06B98B32" w14:textId="77777777" w:rsidR="00B963B3" w:rsidRPr="008E6506" w:rsidRDefault="000604B7" w:rsidP="00060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kúpna cena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405CC2" w:rsidRPr="008E6506">
        <w:rPr>
          <w:rFonts w:ascii="Arial" w:hAnsi="Arial" w:cs="Arial"/>
          <w:sz w:val="20"/>
          <w:szCs w:val="20"/>
          <w:lang w:val="sk-SK"/>
        </w:rPr>
        <w:t>–  musí byť záväzná; cenu uvádzať bez DPH a vrátane DPH</w:t>
      </w:r>
      <w:r w:rsidR="00B963B3" w:rsidRPr="008E6506">
        <w:rPr>
          <w:rFonts w:ascii="Arial" w:hAnsi="Arial" w:cs="Arial"/>
          <w:sz w:val="20"/>
          <w:szCs w:val="20"/>
          <w:lang w:val="sk-SK"/>
        </w:rPr>
        <w:t>,</w:t>
      </w:r>
    </w:p>
    <w:p w14:paraId="171DB956" w14:textId="77777777" w:rsidR="00405CC2" w:rsidRPr="008E6506" w:rsidRDefault="00B963B3" w:rsidP="00B963B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- rozčlenenie ceny na samotný bytový objekt a technickú vybavenosť v prípade, že je kúpna zmluva na technickú vybavenosť súčasťou kúpnej zmluvy kúpu nájomných bytov.</w:t>
      </w:r>
    </w:p>
    <w:p w14:paraId="6A5BC63F" w14:textId="77777777" w:rsidR="00B963B3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záväzok predávajúceho odovzdať predmet kúpnej zmluvy </w:t>
      </w:r>
    </w:p>
    <w:p w14:paraId="5DD14CF4" w14:textId="77777777" w:rsidR="000604B7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záväzok kupujúceho zaplatiť kúpnu cenu </w:t>
      </w:r>
    </w:p>
    <w:p w14:paraId="41822653" w14:textId="77777777" w:rsidR="000604B7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platobné podmienky presne špecifikovať – tzn. zaplatenie kúpnej ceny v súlade s predkladanými faktúrami</w:t>
      </w:r>
    </w:p>
    <w:p w14:paraId="39051765" w14:textId="77777777" w:rsidR="00C16C38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lang w:val="sk-SK"/>
        </w:rPr>
        <w:t>účet, na ktorý bude zaplatená kúpna cena musí byť identický s účtom na vystavenej faktúre</w:t>
      </w:r>
      <w:r w:rsidR="00C16C38" w:rsidRPr="008E6506">
        <w:rPr>
          <w:rFonts w:ascii="Arial" w:hAnsi="Arial" w:cs="Arial"/>
          <w:b/>
          <w:sz w:val="20"/>
          <w:szCs w:val="20"/>
          <w:lang w:val="sk-SK"/>
        </w:rPr>
        <w:t>,</w:t>
      </w:r>
      <w:r w:rsidR="00C16C38" w:rsidRPr="008E6506">
        <w:rPr>
          <w:rFonts w:ascii="Arial" w:hAnsi="Arial" w:cs="Arial"/>
          <w:b/>
          <w:bCs/>
          <w:sz w:val="20"/>
          <w:szCs w:val="20"/>
          <w:lang w:val="sk-SK"/>
        </w:rPr>
        <w:t xml:space="preserve"> rovnaké číslo účtu musí byť uvedené aj na prísľube banky o vymazaní ťarchy splatením úveru kúpou </w:t>
      </w:r>
    </w:p>
    <w:p w14:paraId="135F3DFC" w14:textId="77777777" w:rsidR="00AA0256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záverečné ustanovenia a dátum uzatvorenia zmluvy...., podpisy zmluvných strán</w:t>
      </w:r>
      <w:r w:rsidR="00140C9C" w:rsidRPr="008E6506">
        <w:rPr>
          <w:rFonts w:ascii="Arial" w:hAnsi="Arial" w:cs="Arial"/>
          <w:sz w:val="20"/>
          <w:szCs w:val="20"/>
          <w:lang w:val="sk-SK"/>
        </w:rPr>
        <w:t xml:space="preserve"> v súlade s konaním uvedeným v</w:t>
      </w:r>
      <w:r w:rsidR="00B124FC" w:rsidRPr="008E6506">
        <w:rPr>
          <w:rFonts w:ascii="Arial" w:hAnsi="Arial" w:cs="Arial"/>
          <w:sz w:val="20"/>
          <w:szCs w:val="20"/>
          <w:lang w:val="sk-SK"/>
        </w:rPr>
        <w:t> </w:t>
      </w:r>
      <w:r w:rsidR="00140C9C" w:rsidRPr="008E6506">
        <w:rPr>
          <w:rFonts w:ascii="Arial" w:hAnsi="Arial" w:cs="Arial"/>
          <w:sz w:val="20"/>
          <w:szCs w:val="20"/>
          <w:lang w:val="sk-SK"/>
        </w:rPr>
        <w:t>OR</w:t>
      </w:r>
      <w:r w:rsidR="00B124FC" w:rsidRPr="008E6506">
        <w:rPr>
          <w:rFonts w:ascii="Arial" w:hAnsi="Arial" w:cs="Arial"/>
          <w:sz w:val="20"/>
          <w:szCs w:val="20"/>
          <w:lang w:val="sk-SK"/>
        </w:rPr>
        <w:t xml:space="preserve"> resp. ŽR</w:t>
      </w:r>
      <w:r w:rsidR="005C4937">
        <w:rPr>
          <w:rFonts w:ascii="Arial" w:hAnsi="Arial" w:cs="Arial"/>
          <w:sz w:val="20"/>
          <w:szCs w:val="20"/>
          <w:lang w:val="sk-SK"/>
        </w:rPr>
        <w:t xml:space="preserve"> (úradne overené)</w:t>
      </w:r>
    </w:p>
    <w:p w14:paraId="06B33F64" w14:textId="0921CFEB" w:rsidR="00C52519" w:rsidRPr="00F258C5" w:rsidRDefault="00FE523A" w:rsidP="00F258C5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79352C">
        <w:rPr>
          <w:rFonts w:ascii="Arial" w:hAnsi="Arial" w:cs="Arial"/>
          <w:sz w:val="20"/>
          <w:szCs w:val="20"/>
          <w:lang w:val="sk-SK"/>
        </w:rPr>
        <w:t xml:space="preserve">kúpna zmluva nesmie byť podpísaná pred termínom schválenia investičného zámeru príslušným </w:t>
      </w:r>
      <w:r w:rsidR="00B963B3" w:rsidRPr="0079352C">
        <w:rPr>
          <w:rFonts w:ascii="Arial" w:hAnsi="Arial" w:cs="Arial"/>
          <w:sz w:val="20"/>
          <w:szCs w:val="20"/>
          <w:lang w:val="sk-SK"/>
        </w:rPr>
        <w:t xml:space="preserve">  </w:t>
      </w:r>
      <w:r w:rsidRPr="0079352C">
        <w:rPr>
          <w:rFonts w:ascii="Arial" w:hAnsi="Arial" w:cs="Arial"/>
          <w:sz w:val="20"/>
          <w:szCs w:val="20"/>
          <w:lang w:val="sk-SK"/>
        </w:rPr>
        <w:t>zastupiteľstvom.</w:t>
      </w:r>
    </w:p>
    <w:p w14:paraId="7BB10D60" w14:textId="77777777" w:rsidR="00C52519" w:rsidRPr="00C52519" w:rsidRDefault="00C52519" w:rsidP="00C52519">
      <w:pPr>
        <w:rPr>
          <w:rFonts w:ascii="Arial" w:hAnsi="Arial" w:cs="Arial"/>
          <w:color w:val="1F497D"/>
          <w:sz w:val="20"/>
          <w:szCs w:val="20"/>
        </w:rPr>
      </w:pPr>
    </w:p>
    <w:p w14:paraId="292BDDBE" w14:textId="77777777" w:rsidR="00C52519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Príloha 1</w:t>
      </w:r>
      <w:r w:rsidR="00763CAE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5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14:paraId="71B79827" w14:textId="4020AC23" w:rsidR="00AF7825" w:rsidRPr="008E6506" w:rsidRDefault="00AF7825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Budúci predávajúci musí byť zhotoviteľom stavby</w:t>
      </w:r>
      <w:r w:rsidR="00FC0AF4">
        <w:rPr>
          <w:rFonts w:ascii="Arial" w:hAnsi="Arial" w:cs="Arial"/>
          <w:sz w:val="20"/>
          <w:szCs w:val="20"/>
          <w:lang w:val="sk-SK"/>
        </w:rPr>
        <w:t xml:space="preserve"> technickej vybavenosti</w:t>
      </w:r>
      <w:r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2B54F938" w14:textId="77777777" w:rsidR="00936451" w:rsidRPr="008E6506" w:rsidRDefault="00AF7825" w:rsidP="00D4079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Zmluva o budúcej kúpnej zmluve musí obsahovať obdobné požiadavky uvedené v prílohe č. 14 – kúpna zmluva</w:t>
      </w:r>
      <w:r w:rsidR="00936451"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75E9A64B" w14:textId="77777777" w:rsidR="00915C81" w:rsidRPr="008E6506" w:rsidRDefault="00915C81" w:rsidP="00140C9C">
      <w:pPr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Podpisy zmluvných strán je potrebné úradne overiť.</w:t>
      </w:r>
    </w:p>
    <w:p w14:paraId="1F9D79FE" w14:textId="77777777" w:rsidR="00936451" w:rsidRPr="008E6506" w:rsidRDefault="00936451" w:rsidP="0093645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Kúpna zmluva musí byť uzatvorená najneskôr do konca mesiaca august v druhom kalendárnom roku nasledujúcom po roku, v ktorom bola uzavretá zmluva. </w:t>
      </w:r>
    </w:p>
    <w:p w14:paraId="775DCABB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4375062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ríloha </w:t>
      </w:r>
      <w:r w:rsidR="002D438C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16</w:t>
      </w:r>
    </w:p>
    <w:p w14:paraId="3913A189" w14:textId="09E2F51B" w:rsidR="00240158" w:rsidRPr="008E6506" w:rsidRDefault="00D50E83" w:rsidP="0024015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žiadateľ vypracuje tabuľku</w:t>
      </w:r>
      <w:r w:rsidR="00240158" w:rsidRPr="008E6506">
        <w:rPr>
          <w:rFonts w:ascii="Arial" w:hAnsi="Arial" w:cs="Arial"/>
          <w:sz w:val="20"/>
          <w:szCs w:val="20"/>
          <w:lang w:val="sk-SK"/>
        </w:rPr>
        <w:t xml:space="preserve"> podľa </w:t>
      </w:r>
      <w:r w:rsidR="00456074" w:rsidRPr="008E6506">
        <w:rPr>
          <w:rFonts w:ascii="Arial" w:hAnsi="Arial" w:cs="Arial"/>
          <w:sz w:val="20"/>
          <w:szCs w:val="20"/>
          <w:lang w:val="sk-SK"/>
        </w:rPr>
        <w:t>prílohy č.</w:t>
      </w:r>
      <w:r w:rsidR="002D438C" w:rsidRPr="008E6506">
        <w:rPr>
          <w:rFonts w:ascii="Arial" w:hAnsi="Arial" w:cs="Arial"/>
          <w:sz w:val="20"/>
          <w:szCs w:val="20"/>
          <w:lang w:val="sk-SK"/>
        </w:rPr>
        <w:t>16</w:t>
      </w:r>
    </w:p>
    <w:p w14:paraId="143F08F0" w14:textId="5F1F0B1F" w:rsidR="00037140" w:rsidRDefault="000604B7" w:rsidP="004B39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vypracovanie tabuľky môže urobiť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 odborná osoba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zhotoviteľa s vyčíslením </w:t>
      </w:r>
      <w:r w:rsidR="00184FA8">
        <w:rPr>
          <w:rFonts w:ascii="Arial" w:hAnsi="Arial" w:cs="Arial"/>
          <w:sz w:val="20"/>
          <w:szCs w:val="20"/>
          <w:lang w:val="sk-SK"/>
        </w:rPr>
        <w:t xml:space="preserve">obstarávacích 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cien jednotlivých </w:t>
      </w:r>
      <w:r w:rsidR="00E72FC7" w:rsidRPr="008E6506">
        <w:rPr>
          <w:rFonts w:ascii="Arial" w:hAnsi="Arial" w:cs="Arial"/>
          <w:sz w:val="20"/>
          <w:szCs w:val="20"/>
          <w:lang w:val="sk-SK"/>
        </w:rPr>
        <w:t>typov</w:t>
      </w:r>
      <w:r w:rsidR="00D50E83" w:rsidRPr="008E6506">
        <w:rPr>
          <w:rFonts w:ascii="Arial" w:hAnsi="Arial" w:cs="Arial"/>
          <w:sz w:val="20"/>
          <w:szCs w:val="20"/>
          <w:lang w:val="sk-SK"/>
        </w:rPr>
        <w:t xml:space="preserve"> technickej vybavenosti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a s uvedením výšok prislúchajúcej podpory zo ŠFRB </w:t>
      </w:r>
      <w:r w:rsidR="00D50E83" w:rsidRPr="008E6506">
        <w:rPr>
          <w:rFonts w:ascii="Arial" w:hAnsi="Arial" w:cs="Arial"/>
          <w:sz w:val="20"/>
          <w:szCs w:val="20"/>
          <w:lang w:val="sk-SK"/>
        </w:rPr>
        <w:t xml:space="preserve">a </w:t>
      </w:r>
      <w:r w:rsidR="00E72FC7" w:rsidRPr="008E6506">
        <w:rPr>
          <w:rFonts w:ascii="Arial" w:hAnsi="Arial" w:cs="Arial"/>
          <w:sz w:val="20"/>
          <w:szCs w:val="20"/>
          <w:lang w:val="sk-SK"/>
        </w:rPr>
        <w:t>vlastných zdrojov</w:t>
      </w:r>
    </w:p>
    <w:p w14:paraId="54841FCA" w14:textId="77777777" w:rsidR="000604B7" w:rsidRPr="008E6506" w:rsidRDefault="000604B7" w:rsidP="004B39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tabuľku potvrd</w:t>
      </w:r>
      <w:r w:rsidR="00240158" w:rsidRPr="008E6506">
        <w:rPr>
          <w:rFonts w:ascii="Arial" w:hAnsi="Arial" w:cs="Arial"/>
          <w:sz w:val="20"/>
          <w:szCs w:val="20"/>
          <w:lang w:val="sk-SK"/>
        </w:rPr>
        <w:t>í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 žiadateľ o podporu  zo ŠFRB</w:t>
      </w:r>
    </w:p>
    <w:p w14:paraId="6BC458B4" w14:textId="7EDD09F4" w:rsidR="00E72FC7" w:rsidRPr="008E6506" w:rsidRDefault="000604B7" w:rsidP="00E72FC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trike/>
          <w:sz w:val="20"/>
          <w:szCs w:val="20"/>
          <w:lang w:val="sk-SK" w:eastAsia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Obstarávacou cenou je cena dohodnutá v kúpnej zmluve alebo zmluve o budúcej kúpnej zmluve.</w:t>
      </w:r>
      <w:r w:rsidR="00E72FC7" w:rsidRPr="008E6506">
        <w:rPr>
          <w:rFonts w:ascii="Arial" w:hAnsi="Arial" w:cs="Arial"/>
          <w:sz w:val="20"/>
          <w:szCs w:val="20"/>
          <w:lang w:val="sk-SK"/>
        </w:rPr>
        <w:t xml:space="preserve"> Cena pozemku sa do obstarávacej ceny nezapočítava</w:t>
      </w:r>
      <w:r w:rsidR="00ED05BE">
        <w:rPr>
          <w:rFonts w:ascii="Arial" w:hAnsi="Arial" w:cs="Arial"/>
          <w:sz w:val="20"/>
          <w:szCs w:val="20"/>
          <w:lang w:val="sk-SK"/>
        </w:rPr>
        <w:t>.</w:t>
      </w:r>
      <w:r w:rsidR="00E72FC7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E72FC7" w:rsidRPr="008E6506">
        <w:rPr>
          <w:rFonts w:ascii="Arial" w:hAnsi="Arial" w:cs="Arial"/>
          <w:sz w:val="20"/>
          <w:szCs w:val="20"/>
          <w:lang w:val="sk-SK" w:eastAsia="sk-SK"/>
        </w:rPr>
        <w:t xml:space="preserve">Do obstarávacej ceny obstarania technickej vybavenosti sa nezapočítavajú ani náklady na vodovodnú prípojku, kanalizačnú prípojku alebo garážové stojisko, ak sú tieto náklady zahrnuté v obstarávacej cene na obstaranie nájomného bytu. </w:t>
      </w:r>
    </w:p>
    <w:p w14:paraId="668BE6CD" w14:textId="77777777" w:rsidR="00E72FC7" w:rsidRPr="008E6506" w:rsidRDefault="00E72FC7" w:rsidP="00E72FC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239"/>
        <w:gridCol w:w="3402"/>
      </w:tblGrid>
      <w:tr w:rsidR="00A75109" w:rsidRPr="008E6506" w14:paraId="2E9BDEDC" w14:textId="77777777" w:rsidTr="0066666E">
        <w:tc>
          <w:tcPr>
            <w:tcW w:w="3431" w:type="dxa"/>
            <w:shd w:val="clear" w:color="auto" w:fill="D9D9D9"/>
          </w:tcPr>
          <w:p w14:paraId="20223897" w14:textId="77777777" w:rsidR="00DF166F" w:rsidRPr="008E6506" w:rsidRDefault="00DF166F" w:rsidP="00B0512D">
            <w:pPr>
              <w:rPr>
                <w:rFonts w:ascii="Calibri" w:eastAsia="Calibri" w:hAnsi="Calibri"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Typ technickej vybavenosti</w:t>
            </w:r>
          </w:p>
        </w:tc>
        <w:tc>
          <w:tcPr>
            <w:tcW w:w="2239" w:type="dxa"/>
            <w:shd w:val="clear" w:color="auto" w:fill="D9D9D9"/>
          </w:tcPr>
          <w:p w14:paraId="5BE1C4D5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Max. % úveru z OC</w:t>
            </w:r>
          </w:p>
        </w:tc>
        <w:tc>
          <w:tcPr>
            <w:tcW w:w="3402" w:type="dxa"/>
            <w:shd w:val="clear" w:color="auto" w:fill="D9D9D9"/>
          </w:tcPr>
          <w:p w14:paraId="7F490042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Max. úver (€) podľa typu </w:t>
            </w:r>
          </w:p>
        </w:tc>
      </w:tr>
      <w:tr w:rsidR="00A75109" w:rsidRPr="008E6506" w14:paraId="7C8C5F0D" w14:textId="77777777" w:rsidTr="0066666E">
        <w:trPr>
          <w:trHeight w:val="135"/>
        </w:trPr>
        <w:tc>
          <w:tcPr>
            <w:tcW w:w="3431" w:type="dxa"/>
            <w:vMerge w:val="restart"/>
            <w:shd w:val="clear" w:color="auto" w:fill="auto"/>
          </w:tcPr>
          <w:p w14:paraId="2CC17391" w14:textId="77777777" w:rsidR="00DF166F" w:rsidRPr="008E6506" w:rsidRDefault="00DF166F" w:rsidP="00B0512D">
            <w:pPr>
              <w:rPr>
                <w:rFonts w:ascii="Calibri" w:eastAsia="Calibri" w:hAnsi="Calibri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Verejný vodovod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47B4CC2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14:paraId="593C621A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596 €/byt</w:t>
            </w:r>
          </w:p>
        </w:tc>
      </w:tr>
      <w:tr w:rsidR="00A75109" w:rsidRPr="008E6506" w14:paraId="591CC3BF" w14:textId="77777777" w:rsidTr="0066666E">
        <w:trPr>
          <w:trHeight w:val="135"/>
        </w:trPr>
        <w:tc>
          <w:tcPr>
            <w:tcW w:w="3431" w:type="dxa"/>
            <w:vMerge/>
            <w:shd w:val="clear" w:color="auto" w:fill="auto"/>
          </w:tcPr>
          <w:p w14:paraId="30276D3C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739665D8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CE0182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112 €/m</w:t>
            </w:r>
          </w:p>
        </w:tc>
      </w:tr>
      <w:tr w:rsidR="00A75109" w:rsidRPr="008E6506" w14:paraId="6E9960DC" w14:textId="77777777" w:rsidTr="0066666E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3F8E6967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Verejná kanalizácia</w:t>
            </w:r>
          </w:p>
        </w:tc>
        <w:tc>
          <w:tcPr>
            <w:tcW w:w="2239" w:type="dxa"/>
            <w:vMerge w:val="restart"/>
            <w:shd w:val="clear" w:color="auto" w:fill="F2F2F2"/>
          </w:tcPr>
          <w:p w14:paraId="556E674A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F2F2F2"/>
          </w:tcPr>
          <w:p w14:paraId="077D57AE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785 €/byt</w:t>
            </w:r>
          </w:p>
        </w:tc>
      </w:tr>
      <w:tr w:rsidR="00A75109" w:rsidRPr="008E6506" w14:paraId="5538085E" w14:textId="77777777" w:rsidTr="0066666E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0D25D009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F2F2F2"/>
          </w:tcPr>
          <w:p w14:paraId="7EAAA356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F2F2F2"/>
          </w:tcPr>
          <w:p w14:paraId="734911AD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147€/m</w:t>
            </w:r>
          </w:p>
        </w:tc>
      </w:tr>
      <w:tr w:rsidR="00A75109" w:rsidRPr="008E6506" w14:paraId="2CC2936F" w14:textId="77777777" w:rsidTr="0066666E">
        <w:tc>
          <w:tcPr>
            <w:tcW w:w="3431" w:type="dxa"/>
            <w:shd w:val="clear" w:color="auto" w:fill="auto"/>
          </w:tcPr>
          <w:p w14:paraId="61A5D4FD" w14:textId="77777777" w:rsidR="00DF166F" w:rsidRPr="008E6506" w:rsidRDefault="00DF166F" w:rsidP="00184FA8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Čistiareň odpadových vôd</w:t>
            </w:r>
            <w:r w:rsidR="008E6506"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</w:t>
            </w:r>
            <w:r w:rsidR="00184FA8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(</w:t>
            </w:r>
            <w:r w:rsidR="008E6506"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COV</w:t>
            </w:r>
            <w:r w:rsidR="00184FA8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14:paraId="31E8DBC2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14:paraId="4D435FE4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14 000 €/čistiareň</w:t>
            </w:r>
          </w:p>
        </w:tc>
      </w:tr>
      <w:tr w:rsidR="00A75109" w:rsidRPr="008E6506" w14:paraId="533EF33C" w14:textId="77777777" w:rsidTr="0066666E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3F9EC87D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Miestna komunikácia</w:t>
            </w:r>
          </w:p>
        </w:tc>
        <w:tc>
          <w:tcPr>
            <w:tcW w:w="2239" w:type="dxa"/>
            <w:vMerge w:val="restart"/>
            <w:shd w:val="clear" w:color="auto" w:fill="F2F2F2"/>
          </w:tcPr>
          <w:p w14:paraId="497E41F8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F2F2F2"/>
          </w:tcPr>
          <w:p w14:paraId="0BB5A9C7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796 €/byt</w:t>
            </w:r>
          </w:p>
        </w:tc>
      </w:tr>
      <w:tr w:rsidR="00A75109" w:rsidRPr="008E6506" w14:paraId="07464D3B" w14:textId="77777777" w:rsidTr="0066666E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31062AA0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F2F2F2"/>
          </w:tcPr>
          <w:p w14:paraId="549E1032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F2F2F2"/>
          </w:tcPr>
          <w:p w14:paraId="4EE0205C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A75109" w:rsidRPr="008E6506" w14:paraId="1931117A" w14:textId="77777777" w:rsidTr="0066666E">
        <w:trPr>
          <w:trHeight w:val="128"/>
        </w:trPr>
        <w:tc>
          <w:tcPr>
            <w:tcW w:w="3431" w:type="dxa"/>
            <w:vMerge w:val="restart"/>
            <w:shd w:val="clear" w:color="auto" w:fill="auto"/>
          </w:tcPr>
          <w:p w14:paraId="2F0D81D0" w14:textId="63C04FE1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Odstavná plocha </w:t>
            </w:r>
            <w:r w:rsidR="0066666E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(vrátane príjazdu k odstavnej ploche z miestnej komunikácie)</w:t>
            </w:r>
            <w:r w:rsidR="0066666E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            </w:t>
            </w: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            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3439D6F0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14:paraId="29F78EE1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357 €/byt</w:t>
            </w:r>
          </w:p>
        </w:tc>
      </w:tr>
      <w:tr w:rsidR="00A75109" w:rsidRPr="008E6506" w14:paraId="7189FCAB" w14:textId="77777777" w:rsidTr="0066666E">
        <w:trPr>
          <w:trHeight w:val="127"/>
        </w:trPr>
        <w:tc>
          <w:tcPr>
            <w:tcW w:w="3431" w:type="dxa"/>
            <w:vMerge/>
            <w:shd w:val="clear" w:color="auto" w:fill="auto"/>
          </w:tcPr>
          <w:p w14:paraId="0A783098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FECDE55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D1A35AC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A75109" w:rsidRPr="008E6506" w14:paraId="49072409" w14:textId="77777777" w:rsidTr="0066666E">
        <w:tc>
          <w:tcPr>
            <w:tcW w:w="3431" w:type="dxa"/>
            <w:shd w:val="clear" w:color="auto" w:fill="F2F2F2"/>
          </w:tcPr>
          <w:p w14:paraId="55AF2F9F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Garážové stojisko</w:t>
            </w:r>
          </w:p>
        </w:tc>
        <w:tc>
          <w:tcPr>
            <w:tcW w:w="2239" w:type="dxa"/>
            <w:shd w:val="clear" w:color="auto" w:fill="F2F2F2"/>
          </w:tcPr>
          <w:p w14:paraId="3CC2B836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90</w:t>
            </w:r>
          </w:p>
        </w:tc>
        <w:tc>
          <w:tcPr>
            <w:tcW w:w="3402" w:type="dxa"/>
            <w:shd w:val="clear" w:color="auto" w:fill="F2F2F2"/>
          </w:tcPr>
          <w:p w14:paraId="1521B41B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6 000 €/byt</w:t>
            </w:r>
          </w:p>
        </w:tc>
      </w:tr>
    </w:tbl>
    <w:p w14:paraId="00B3491A" w14:textId="77777777" w:rsidR="00DF166F" w:rsidRPr="008E6506" w:rsidRDefault="00DF166F" w:rsidP="000B689E">
      <w:pPr>
        <w:spacing w:beforeLines="60" w:before="144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Cs/>
          <w:sz w:val="20"/>
          <w:szCs w:val="20"/>
          <w:lang w:val="sk-SK" w:eastAsia="sk-SK"/>
        </w:rPr>
        <w:lastRenderedPageBreak/>
        <w:t xml:space="preserve">Upozornenie: K obstarávanému nájomnému bytu možno poskytnúť podporu len na jeden z nasledovných druhov technickej vybavenosti </w:t>
      </w:r>
    </w:p>
    <w:p w14:paraId="7908160D" w14:textId="77777777" w:rsidR="00DF166F" w:rsidRPr="008E6506" w:rsidRDefault="00DF166F" w:rsidP="00DF166F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sk-SK" w:eastAsia="sk-SK"/>
        </w:rPr>
      </w:pPr>
      <w:r w:rsidRPr="008E6506">
        <w:rPr>
          <w:rFonts w:ascii="Arial" w:hAnsi="Arial" w:cs="Arial"/>
          <w:sz w:val="20"/>
          <w:szCs w:val="20"/>
          <w:lang w:val="sk-SK" w:eastAsia="sk-SK"/>
        </w:rPr>
        <w:t xml:space="preserve">odstavná plocha vybudovaná pri obstarávanom nájomnom byte vrátane príjazdu k odstavnej ploche z miestnej komunikácie </w:t>
      </w:r>
      <w:r w:rsidRPr="008E6506">
        <w:rPr>
          <w:rFonts w:ascii="Arial" w:hAnsi="Arial" w:cs="Arial"/>
          <w:b/>
          <w:sz w:val="20"/>
          <w:szCs w:val="20"/>
          <w:lang w:val="sk-SK" w:eastAsia="sk-SK"/>
        </w:rPr>
        <w:t>alebo</w:t>
      </w:r>
    </w:p>
    <w:p w14:paraId="4642E5FD" w14:textId="77777777" w:rsidR="00DF166F" w:rsidRPr="008E6506" w:rsidRDefault="00DF166F" w:rsidP="00DF166F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 w:eastAsia="en-US"/>
        </w:rPr>
        <w:t>garážové stojisko určené ako priestor v bytovom dome alebo v polyfunkčnom dome na odstavenie motorového vozidla.</w:t>
      </w:r>
    </w:p>
    <w:p w14:paraId="0F7DE445" w14:textId="77777777" w:rsidR="00E72FC7" w:rsidRPr="008E6506" w:rsidRDefault="00E72FC7" w:rsidP="00175B11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BAAD7DF" w14:textId="77777777" w:rsidR="008F6E18" w:rsidRPr="008E6506" w:rsidRDefault="008F6E18" w:rsidP="008F6E18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 w:eastAsia="en-US"/>
        </w:rPr>
        <w:t xml:space="preserve">Celková suma úveru pre všetky typy technickej vybavenosti spolu nesmie presiahnuť 12 000,- € na jeden obstarávaný nájomný byt. </w:t>
      </w:r>
    </w:p>
    <w:p w14:paraId="142877AE" w14:textId="77777777" w:rsidR="008F6E18" w:rsidRPr="008E6506" w:rsidRDefault="008F6E18" w:rsidP="00175B11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B331D37" w14:textId="77777777" w:rsidR="00272F1D" w:rsidRPr="008E6506" w:rsidRDefault="00272F1D" w:rsidP="001D1A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2D438C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18</w:t>
      </w:r>
    </w:p>
    <w:p w14:paraId="22F4BD72" w14:textId="77777777" w:rsidR="00272F1D" w:rsidRPr="008E6506" w:rsidRDefault="00272F1D" w:rsidP="001054EC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Budúci predávajúci musí byť zhotoviteľom stavby. Podľa výpisu z</w:t>
      </w:r>
      <w:r w:rsidR="00D45177" w:rsidRPr="008E6506">
        <w:rPr>
          <w:rFonts w:ascii="Arial" w:hAnsi="Arial" w:cs="Arial"/>
          <w:sz w:val="20"/>
          <w:szCs w:val="20"/>
          <w:lang w:val="sk-SK"/>
        </w:rPr>
        <w:t> </w:t>
      </w:r>
      <w:r w:rsidRPr="008E6506">
        <w:rPr>
          <w:rFonts w:ascii="Arial" w:hAnsi="Arial" w:cs="Arial"/>
          <w:sz w:val="20"/>
          <w:szCs w:val="20"/>
          <w:lang w:val="sk-SK"/>
        </w:rPr>
        <w:t>OR</w:t>
      </w:r>
      <w:r w:rsidR="00D45177" w:rsidRPr="008E6506">
        <w:rPr>
          <w:rFonts w:ascii="Arial" w:hAnsi="Arial" w:cs="Arial"/>
          <w:sz w:val="20"/>
          <w:szCs w:val="20"/>
          <w:lang w:val="sk-SK"/>
        </w:rPr>
        <w:t xml:space="preserve"> alebo živnostenského registra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musí mať </w:t>
      </w:r>
      <w:r w:rsidR="00535124" w:rsidRPr="008E6506">
        <w:rPr>
          <w:rFonts w:ascii="Arial" w:hAnsi="Arial" w:cs="Arial"/>
          <w:sz w:val="20"/>
          <w:szCs w:val="20"/>
          <w:lang w:val="sk-SK"/>
        </w:rPr>
        <w:t>zhotoviteľ na zhotovovanie stavieb oprávnenie.</w:t>
      </w:r>
    </w:p>
    <w:p w14:paraId="221478A3" w14:textId="77777777" w:rsidR="00740F73" w:rsidRPr="008E6506" w:rsidRDefault="00740F73" w:rsidP="001054EC">
      <w:pPr>
        <w:spacing w:line="276" w:lineRule="auto"/>
        <w:ind w:left="66"/>
        <w:jc w:val="both"/>
        <w:rPr>
          <w:rFonts w:ascii="Arial" w:hAnsi="Arial" w:cs="Arial"/>
          <w:b/>
          <w:strike/>
          <w:sz w:val="20"/>
          <w:szCs w:val="20"/>
          <w:lang w:val="sk-SK"/>
        </w:rPr>
      </w:pPr>
    </w:p>
    <w:p w14:paraId="05FFE7B9" w14:textId="77777777" w:rsidR="00ED05BE" w:rsidRPr="00F258C5" w:rsidRDefault="00ED05BE" w:rsidP="00F258C5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F258C5">
        <w:rPr>
          <w:rFonts w:ascii="Arial" w:hAnsi="Arial" w:cs="Arial"/>
          <w:b/>
          <w:sz w:val="20"/>
          <w:szCs w:val="20"/>
          <w:u w:val="single"/>
          <w:lang w:val="sk-SK"/>
        </w:rPr>
        <w:t>Príloha 30.</w:t>
      </w:r>
    </w:p>
    <w:p w14:paraId="4569629F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Daňové priznanie, účtovnú závierku a poznámky k účtovnej závierke predložiť k žiadostiam podávaných v roku 2018 za roky 2015, 2016 a 2017, resp. za bezprostredne predchádzajúce 3 zdaňovacie obdobia, ak zdaňovacím obdobím nie je kalendárny rok.</w:t>
      </w:r>
    </w:p>
    <w:p w14:paraId="76F9535D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Ak žiadateľ podá správcovi dane opravné daňové priznanie alebo dodatočné daňové priznanie, prílohou k žiadosti je aj kópia tohto opravného, resp. dodatočného daňového priznania.</w:t>
      </w:r>
    </w:p>
    <w:p w14:paraId="55FFFC50" w14:textId="77777777" w:rsidR="00ED05BE" w:rsidRPr="00B21994" w:rsidRDefault="00ED05BE" w:rsidP="00F258C5">
      <w:pPr>
        <w:pStyle w:val="Odsekzoznamu"/>
        <w:ind w:left="1069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87F67B2" w14:textId="77777777" w:rsidR="00ED05BE" w:rsidRPr="00F258C5" w:rsidRDefault="00ED05BE" w:rsidP="00F258C5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F258C5">
        <w:rPr>
          <w:rFonts w:ascii="Arial" w:hAnsi="Arial" w:cs="Arial"/>
          <w:b/>
          <w:sz w:val="20"/>
          <w:szCs w:val="20"/>
          <w:u w:val="single"/>
          <w:lang w:val="sk-SK"/>
        </w:rPr>
        <w:t>Príloha 33.</w:t>
      </w:r>
    </w:p>
    <w:p w14:paraId="2ABA0151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 xml:space="preserve">Uviesť štruktúru krátkodobých záväzkov a pohľadávok z obchodného styku  podľa lehôt splatnosti v tabuľke (príloha č. 33) </w:t>
      </w:r>
    </w:p>
    <w:p w14:paraId="3CD1383F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 xml:space="preserve">V prípade existencie vysokopolehotných pohľadávok (po splatnosti nad 90 dní) uviesť v podnikateľskom zámere menovite hlavných dlžných odberateľov vrátane spôsobu vymáhania pohľadávky a pravdepodobnosti jej vymoženia. Zhodnotiť tvorbu opravných položiek. </w:t>
      </w:r>
    </w:p>
    <w:p w14:paraId="4167AF17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V prípade existencie vysokopolehotných záväzkov (nad 90 dní) uviesť v podnikateľskom zámere menovite hlavných veriteľov a zhodnotiť pravdepodobnosť prípadnej exekúcie.</w:t>
      </w:r>
    </w:p>
    <w:p w14:paraId="41B4D5E7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Doklad podpísať oprávnenou osobou.</w:t>
      </w:r>
    </w:p>
    <w:p w14:paraId="517EE2DF" w14:textId="77777777" w:rsidR="00ED05BE" w:rsidRPr="00B21994" w:rsidRDefault="00ED05BE" w:rsidP="00F258C5">
      <w:pPr>
        <w:pStyle w:val="Odsekzoznamu"/>
        <w:ind w:left="1069"/>
        <w:jc w:val="both"/>
        <w:rPr>
          <w:rFonts w:ascii="Arial" w:hAnsi="Arial" w:cs="Arial"/>
          <w:sz w:val="20"/>
          <w:szCs w:val="20"/>
          <w:lang w:val="sk-SK"/>
        </w:rPr>
      </w:pPr>
    </w:p>
    <w:p w14:paraId="0BD26AB1" w14:textId="77777777" w:rsidR="00ED05BE" w:rsidRPr="00F258C5" w:rsidRDefault="00ED05BE" w:rsidP="00F258C5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F258C5">
        <w:rPr>
          <w:rFonts w:ascii="Arial" w:hAnsi="Arial" w:cs="Arial"/>
          <w:b/>
          <w:sz w:val="20"/>
          <w:szCs w:val="20"/>
          <w:u w:val="single"/>
          <w:lang w:val="sk-SK"/>
        </w:rPr>
        <w:t>Príloha 34.</w:t>
      </w:r>
    </w:p>
    <w:p w14:paraId="2253CE70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Podnikateľský zámer vypracovať podľa prílohy č. 34 – Osnova podnikateľského zámeru a podpísať štatutárnymi zástupcami žiadateľa.</w:t>
      </w:r>
    </w:p>
    <w:p w14:paraId="042352C4" w14:textId="77777777" w:rsidR="00ED05BE" w:rsidRPr="00B21994" w:rsidRDefault="00ED05BE" w:rsidP="00F258C5">
      <w:pPr>
        <w:pStyle w:val="Odsekzoznamu"/>
        <w:ind w:left="1069"/>
        <w:jc w:val="both"/>
        <w:rPr>
          <w:rFonts w:ascii="Arial" w:hAnsi="Arial" w:cs="Arial"/>
          <w:sz w:val="20"/>
          <w:szCs w:val="20"/>
          <w:lang w:val="sk-SK"/>
        </w:rPr>
      </w:pPr>
    </w:p>
    <w:p w14:paraId="5A2AE5E5" w14:textId="77777777" w:rsidR="00ED05BE" w:rsidRPr="00F258C5" w:rsidRDefault="00ED05BE" w:rsidP="00F258C5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F258C5">
        <w:rPr>
          <w:rFonts w:ascii="Arial" w:hAnsi="Arial" w:cs="Arial"/>
          <w:b/>
          <w:sz w:val="20"/>
          <w:szCs w:val="20"/>
          <w:u w:val="single"/>
          <w:lang w:val="sk-SK"/>
        </w:rPr>
        <w:t>Príloha 35.</w:t>
      </w:r>
    </w:p>
    <w:p w14:paraId="3AC260FA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Finančný plán projektu (cash-flow) vypracovať podľa vysvetliviek v prílohe č. 35 a podpísať štatutárnymi zástupcami žiadateľa. Nejedná sa o finančný plán celej spoločnosti (vrátane jej doterajšej činnosti), ale len o finančný plán podnikateľského zámeru, ktorý je predmetom tejto žiadosti o podporu zo ŠFRB. Je potrebné predložiť záložky Finančný plán a Rozpis nákladových položiek podpísané štatutárnymi zástupcami žiadateľa.</w:t>
      </w:r>
    </w:p>
    <w:p w14:paraId="4E0F280B" w14:textId="77777777" w:rsidR="00ED05BE" w:rsidRPr="00B21994" w:rsidRDefault="00ED05BE" w:rsidP="00F258C5">
      <w:pPr>
        <w:pStyle w:val="Odsekzoznamu"/>
        <w:ind w:left="1069"/>
        <w:jc w:val="both"/>
        <w:rPr>
          <w:rFonts w:ascii="Arial" w:hAnsi="Arial" w:cs="Arial"/>
          <w:sz w:val="20"/>
          <w:szCs w:val="20"/>
          <w:lang w:val="sk-SK"/>
        </w:rPr>
      </w:pPr>
    </w:p>
    <w:p w14:paraId="368003F1" w14:textId="77777777" w:rsidR="00ED05BE" w:rsidRPr="00F258C5" w:rsidRDefault="00ED05BE" w:rsidP="00F258C5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F258C5">
        <w:rPr>
          <w:rFonts w:ascii="Arial" w:hAnsi="Arial" w:cs="Arial"/>
          <w:b/>
          <w:sz w:val="20"/>
          <w:szCs w:val="20"/>
          <w:u w:val="single"/>
          <w:lang w:val="sk-SK"/>
        </w:rPr>
        <w:t>Príloha 36.</w:t>
      </w:r>
    </w:p>
    <w:p w14:paraId="6823F523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Projekciu účtovnej závierky vypracovať za celú činnosť spoločnosti, ktorú bude vykonávať v nasledovných rokoch vrátane zapracovania podniakteškého zámeru, ktorý je predmetom tejto žiadosti o podporu zo ŠFRB.</w:t>
      </w:r>
    </w:p>
    <w:p w14:paraId="46802F95" w14:textId="77777777" w:rsidR="00ED05BE" w:rsidRPr="00B21994" w:rsidRDefault="00ED05BE" w:rsidP="00F258C5">
      <w:pPr>
        <w:pStyle w:val="Odsekzoznamu"/>
        <w:ind w:left="1069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EAE483D" w14:textId="77777777" w:rsidR="00ED05BE" w:rsidRPr="00F258C5" w:rsidRDefault="00ED05BE" w:rsidP="00F258C5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F258C5">
        <w:rPr>
          <w:rFonts w:ascii="Arial" w:hAnsi="Arial" w:cs="Arial"/>
          <w:b/>
          <w:sz w:val="20"/>
          <w:szCs w:val="20"/>
          <w:u w:val="single"/>
          <w:lang w:val="sk-SK"/>
        </w:rPr>
        <w:t>Príloha 37.</w:t>
      </w:r>
    </w:p>
    <w:p w14:paraId="3F160F39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Potvrdenie financujúcej banky, resp. bánk o splácaní úverov a pôžičiek obsahuje:</w:t>
      </w:r>
    </w:p>
    <w:p w14:paraId="4C52C6FD" w14:textId="77777777" w:rsidR="00ED05BE" w:rsidRPr="00F258C5" w:rsidRDefault="00ED05BE" w:rsidP="00F258C5">
      <w:pPr>
        <w:rPr>
          <w:rFonts w:ascii="Arial" w:hAnsi="Arial" w:cs="Arial"/>
          <w:sz w:val="20"/>
          <w:szCs w:val="20"/>
        </w:rPr>
      </w:pPr>
      <w:r w:rsidRPr="00F258C5">
        <w:rPr>
          <w:rFonts w:ascii="Arial" w:hAnsi="Arial" w:cs="Arial"/>
          <w:sz w:val="20"/>
          <w:szCs w:val="20"/>
        </w:rPr>
        <w:t>- vyjadrenie banky, že žiadateľ v predchádzajúcich 12 mesiacoch nebol v nepovolenom debete</w:t>
      </w:r>
    </w:p>
    <w:p w14:paraId="1EA8A41D" w14:textId="77777777" w:rsidR="00ED05BE" w:rsidRPr="00F258C5" w:rsidRDefault="00ED05BE" w:rsidP="00F258C5">
      <w:pPr>
        <w:rPr>
          <w:rFonts w:ascii="Arial" w:hAnsi="Arial" w:cs="Arial"/>
          <w:sz w:val="20"/>
          <w:szCs w:val="20"/>
        </w:rPr>
      </w:pPr>
      <w:r w:rsidRPr="00F258C5">
        <w:rPr>
          <w:rFonts w:ascii="Arial" w:hAnsi="Arial" w:cs="Arial"/>
          <w:sz w:val="20"/>
          <w:szCs w:val="20"/>
        </w:rPr>
        <w:t>- vyjadrenie banky, že účet žiadateľa nie je predmetom exekúcie,</w:t>
      </w:r>
    </w:p>
    <w:p w14:paraId="46ACBBF6" w14:textId="77777777" w:rsidR="00ED05BE" w:rsidRPr="00F258C5" w:rsidRDefault="00ED05BE" w:rsidP="00F258C5">
      <w:pPr>
        <w:rPr>
          <w:rFonts w:ascii="Arial" w:hAnsi="Arial" w:cs="Arial"/>
          <w:sz w:val="20"/>
          <w:szCs w:val="20"/>
        </w:rPr>
      </w:pPr>
      <w:r w:rsidRPr="00F258C5">
        <w:rPr>
          <w:rFonts w:ascii="Arial" w:hAnsi="Arial" w:cs="Arial"/>
          <w:sz w:val="20"/>
          <w:szCs w:val="20"/>
        </w:rPr>
        <w:t>- v prípade splácania úveru žiadateľa v inej banke, potvrdenie banky, že dodržiava splátkový kalendár, resp. počas obdobia posledných 3 rokov nebol v omeškaní so splátkou viac ako 30 dní. V prípade, že bol v omeškaní, vyžadujeme uviesť počet omeškaní za uvedené obdobie aj s počtom omeškaných dní pre každé jednotlivé omeškanie.</w:t>
      </w:r>
    </w:p>
    <w:p w14:paraId="6BB39485" w14:textId="77777777" w:rsidR="00ED05BE" w:rsidRPr="00B21994" w:rsidRDefault="00ED05BE" w:rsidP="00F258C5">
      <w:pPr>
        <w:pStyle w:val="Odsekzoznamu"/>
        <w:ind w:left="1069"/>
        <w:rPr>
          <w:color w:val="1F497D"/>
        </w:rPr>
      </w:pPr>
    </w:p>
    <w:p w14:paraId="6355AF72" w14:textId="15210C8A" w:rsidR="00ED05BE" w:rsidRPr="00F258C5" w:rsidRDefault="00F258C5" w:rsidP="00F258C5">
      <w:pPr>
        <w:rPr>
          <w:rFonts w:ascii="Arial" w:hAnsi="Arial" w:cs="Arial"/>
          <w:b/>
          <w:sz w:val="20"/>
          <w:szCs w:val="20"/>
          <w:u w:val="single"/>
        </w:rPr>
      </w:pPr>
      <w:r w:rsidRPr="00F258C5">
        <w:rPr>
          <w:rFonts w:ascii="Arial" w:hAnsi="Arial" w:cs="Arial"/>
          <w:b/>
          <w:sz w:val="20"/>
          <w:szCs w:val="20"/>
          <w:u w:val="single"/>
        </w:rPr>
        <w:t>P</w:t>
      </w:r>
      <w:r w:rsidR="00ED05BE" w:rsidRPr="00F258C5">
        <w:rPr>
          <w:rFonts w:ascii="Arial" w:hAnsi="Arial" w:cs="Arial"/>
          <w:b/>
          <w:sz w:val="20"/>
          <w:szCs w:val="20"/>
          <w:u w:val="single"/>
        </w:rPr>
        <w:t>ríloha 38.</w:t>
      </w:r>
    </w:p>
    <w:p w14:paraId="69388F70" w14:textId="5A45492E" w:rsidR="00ED05BE" w:rsidRPr="00F258C5" w:rsidRDefault="00F258C5" w:rsidP="00F258C5">
      <w:pPr>
        <w:jc w:val="both"/>
        <w:rPr>
          <w:rFonts w:ascii="Arial" w:hAnsi="Arial" w:cs="Arial"/>
          <w:sz w:val="20"/>
          <w:szCs w:val="20"/>
        </w:rPr>
      </w:pPr>
      <w:r w:rsidRPr="00F258C5">
        <w:rPr>
          <w:rFonts w:ascii="Arial" w:hAnsi="Arial" w:cs="Arial"/>
          <w:sz w:val="20"/>
          <w:szCs w:val="20"/>
        </w:rPr>
        <w:t>n</w:t>
      </w:r>
      <w:r w:rsidR="00ED05BE" w:rsidRPr="00F258C5">
        <w:rPr>
          <w:rFonts w:ascii="Arial" w:hAnsi="Arial" w:cs="Arial"/>
          <w:sz w:val="20"/>
          <w:szCs w:val="20"/>
        </w:rPr>
        <w:t xml:space="preserve">a stránke NBS je formulár na žiadosť o okamžitý výpis z </w:t>
      </w:r>
      <w:r w:rsidR="00ED05BE" w:rsidRPr="00F258C5">
        <w:rPr>
          <w:rFonts w:ascii="Arial" w:hAnsi="Arial" w:cs="Arial"/>
          <w:b/>
          <w:sz w:val="20"/>
          <w:szCs w:val="20"/>
        </w:rPr>
        <w:t>r</w:t>
      </w:r>
      <w:r w:rsidR="00ED05BE" w:rsidRPr="00F258C5">
        <w:rPr>
          <w:rFonts w:ascii="Arial" w:hAnsi="Arial" w:cs="Arial"/>
          <w:b/>
          <w:bCs/>
          <w:sz w:val="20"/>
          <w:szCs w:val="20"/>
        </w:rPr>
        <w:t>egistra bankových úverov a záruk</w:t>
      </w:r>
      <w:r w:rsidR="00ED05BE" w:rsidRPr="00F258C5">
        <w:rPr>
          <w:rFonts w:ascii="Arial" w:hAnsi="Arial" w:cs="Arial"/>
          <w:sz w:val="20"/>
          <w:szCs w:val="20"/>
        </w:rPr>
        <w:t>, ktorý si vytlačí žiadateľ a zašle do NBS.</w:t>
      </w:r>
    </w:p>
    <w:p w14:paraId="39E3B286" w14:textId="77777777" w:rsidR="00ED05BE" w:rsidRPr="00F258C5" w:rsidRDefault="00ED05BE" w:rsidP="00F258C5">
      <w:pPr>
        <w:jc w:val="both"/>
        <w:rPr>
          <w:rFonts w:ascii="Arial" w:hAnsi="Arial" w:cs="Arial"/>
          <w:sz w:val="20"/>
          <w:szCs w:val="20"/>
        </w:rPr>
      </w:pPr>
      <w:r w:rsidRPr="00F258C5">
        <w:rPr>
          <w:rFonts w:ascii="Arial" w:hAnsi="Arial" w:cs="Arial"/>
          <w:sz w:val="20"/>
          <w:szCs w:val="20"/>
        </w:rPr>
        <w:t>Viď. Opatrenie NBS č. 1/2011 z 15. marca 2011 o registri bankových úverov a záruk (oznámenie č. 77/2011 Z.z.) v znení zmien a doplnení podľa opatrenia Národnej banky Slovenska č. 12/2011 z 8. novembra 2011 (oznámenie č. 413/2011 Z.z.)</w:t>
      </w:r>
    </w:p>
    <w:p w14:paraId="24E2D0F0" w14:textId="77777777" w:rsidR="00DF3880" w:rsidRPr="008E6506" w:rsidRDefault="00DF3880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C763E90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ríloha 40.</w:t>
      </w:r>
    </w:p>
    <w:p w14:paraId="4F4AD6B4" w14:textId="7C72737C" w:rsidR="00B9202A" w:rsidRPr="003371F4" w:rsidRDefault="00B9202A" w:rsidP="00B9202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Navrhované zabezpečenie bude slúžiť na zabezpečenie úveru počas celej doby splatnosti úveru. Z uvádzaných možností si žiadateľ môže vybrať akúkoľvek možnosť zabezpečenia, prípadne ich kombináciu tak, aby bolo zabezpečené krytie úveru vo výške 1,3 násobku požadovaného úveru.</w:t>
      </w:r>
      <w:r w:rsidR="009F4D70">
        <w:rPr>
          <w:rFonts w:ascii="Arial" w:hAnsi="Arial" w:cs="Arial"/>
          <w:sz w:val="20"/>
          <w:szCs w:val="20"/>
          <w:lang w:val="sk-SK"/>
        </w:rPr>
        <w:t xml:space="preserve"> </w:t>
      </w:r>
      <w:r w:rsidR="009F4D70" w:rsidRPr="003371F4">
        <w:rPr>
          <w:rFonts w:ascii="Arial" w:hAnsi="Arial" w:cs="Arial"/>
          <w:b/>
          <w:sz w:val="20"/>
          <w:szCs w:val="20"/>
          <w:lang w:val="sk-SK"/>
        </w:rPr>
        <w:t xml:space="preserve">V prípade, že tými istými nehnuteľnosťami </w:t>
      </w:r>
      <w:r w:rsidR="00C147C9">
        <w:rPr>
          <w:rFonts w:ascii="Arial" w:hAnsi="Arial" w:cs="Arial"/>
          <w:b/>
          <w:sz w:val="20"/>
          <w:szCs w:val="20"/>
          <w:lang w:val="sk-SK"/>
        </w:rPr>
        <w:t xml:space="preserve">bude </w:t>
      </w:r>
      <w:r w:rsidR="009F4D70" w:rsidRPr="003371F4">
        <w:rPr>
          <w:rFonts w:ascii="Arial" w:hAnsi="Arial" w:cs="Arial"/>
          <w:b/>
          <w:sz w:val="20"/>
          <w:szCs w:val="20"/>
          <w:lang w:val="sk-SK"/>
        </w:rPr>
        <w:t xml:space="preserve">zabezpečený aj úver na obstaranie nájomných bytov, </w:t>
      </w:r>
      <w:r w:rsidR="001215D0">
        <w:rPr>
          <w:rFonts w:ascii="Arial" w:hAnsi="Arial" w:cs="Arial"/>
          <w:b/>
          <w:sz w:val="20"/>
          <w:szCs w:val="20"/>
          <w:lang w:val="sk-SK"/>
        </w:rPr>
        <w:t xml:space="preserve">resp. úver na kúpu pozemku, </w:t>
      </w:r>
      <w:r w:rsidR="009F4D70" w:rsidRPr="003371F4">
        <w:rPr>
          <w:rFonts w:ascii="Arial" w:hAnsi="Arial" w:cs="Arial"/>
          <w:b/>
          <w:sz w:val="20"/>
          <w:szCs w:val="20"/>
          <w:lang w:val="sk-SK"/>
        </w:rPr>
        <w:t xml:space="preserve">zabezpečenie musí byť min. vo výške 1,3 násobku </w:t>
      </w:r>
      <w:r w:rsidR="001215D0">
        <w:rPr>
          <w:rFonts w:ascii="Arial" w:hAnsi="Arial" w:cs="Arial"/>
          <w:b/>
          <w:sz w:val="20"/>
          <w:szCs w:val="20"/>
          <w:lang w:val="sk-SK"/>
        </w:rPr>
        <w:t>všetkých</w:t>
      </w:r>
      <w:r w:rsidR="001215D0" w:rsidRPr="003371F4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F4D70" w:rsidRPr="003371F4">
        <w:rPr>
          <w:rFonts w:ascii="Arial" w:hAnsi="Arial" w:cs="Arial"/>
          <w:b/>
          <w:sz w:val="20"/>
          <w:szCs w:val="20"/>
          <w:lang w:val="sk-SK"/>
        </w:rPr>
        <w:t xml:space="preserve">úverov. </w:t>
      </w:r>
    </w:p>
    <w:p w14:paraId="051BA0AB" w14:textId="77777777" w:rsidR="00B9202A" w:rsidRPr="008E6506" w:rsidRDefault="00B9202A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0FEF7B78" w14:textId="77777777" w:rsidR="00B9202A" w:rsidRPr="008E6506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Zabezpečenie záväzku nehnuteľnosťou v prípade podania žiadosti na základe kúpnej zmluvy:</w:t>
      </w:r>
    </w:p>
    <w:p w14:paraId="716058AC" w14:textId="77777777" w:rsidR="00B9202A" w:rsidRPr="008E6506" w:rsidRDefault="00B9202A" w:rsidP="00B9202A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-  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>zabezpečenie nehnuteľnosťou – pozemkom (pozemkami) na ktorých je vybudovaná technická vybavenosť</w:t>
      </w:r>
    </w:p>
    <w:p w14:paraId="1836B386" w14:textId="77777777" w:rsidR="00B9202A" w:rsidRPr="008E6506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Na zabezpečenie úveru je možné akceptovať len pozemok, ktorý je na liste vlastníctva zapísaný ako druh pozemku </w:t>
      </w:r>
      <w:r w:rsidRPr="008E6506">
        <w:rPr>
          <w:rFonts w:ascii="Arial" w:hAnsi="Arial" w:cs="Arial"/>
          <w:b/>
          <w:sz w:val="20"/>
          <w:szCs w:val="20"/>
          <w:lang w:val="sk-SK"/>
        </w:rPr>
        <w:t>zastavané plochy a nádvoria.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Ak sú na pozemkoch postavené nejaké stavby, súčasťou zabezpečenia musia byť všetky stavby na predmetných pozemkoch.</w:t>
      </w:r>
    </w:p>
    <w:p w14:paraId="0591EB08" w14:textId="77777777" w:rsidR="00B9202A" w:rsidRPr="008E6506" w:rsidRDefault="00B9202A" w:rsidP="00B9202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výpis z listu vlastníctva k predmetu záložného práva (maximálne 3 mesiace starý)  osvedčujúci vlastníctvo k predmetnej nehnuteľnosti - pozemku  </w:t>
      </w:r>
    </w:p>
    <w:p w14:paraId="49F25318" w14:textId="77777777" w:rsidR="00B9202A" w:rsidRPr="008E6506" w:rsidRDefault="00B9202A" w:rsidP="00B9202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- pozemku v znaleckom posudku musí byť vo výške min.1,3 násobku požadovaného úveru</w:t>
      </w:r>
    </w:p>
    <w:p w14:paraId="706A9A9B" w14:textId="77777777" w:rsidR="00B9202A" w:rsidRPr="008E6506" w:rsidRDefault="00B9202A" w:rsidP="00B9202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prehlásenie, v ktorom dáva vlastník nehnuteľnosti - pozemku k dispozícii predmetnú nehnuteľnosť dlžníkovi na zabezpečenie záväzku voči ŠFRB, tzn. súhlas vlastníka, prípadne spoluvlastníkov nehnuteľnosti so zriadením záložného práva v prospech ŠFRB ako jediného záložného veriteľa (dokladovať v prípade, ak je pozemok vo vlastníctve inej osoby ako žiadateľa)</w:t>
      </w:r>
    </w:p>
    <w:p w14:paraId="44BA12CF" w14:textId="77777777" w:rsidR="00B9202A" w:rsidRPr="008E6506" w:rsidRDefault="00B9202A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1707B9F" w14:textId="77777777" w:rsidR="000604B7" w:rsidRPr="008E6506" w:rsidRDefault="000604B7" w:rsidP="004B397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zabezpečenie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kupovanou nehnuteľnosťou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  vo vlastníctve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zhotoviteľa–predávajúceho</w:t>
      </w:r>
      <w:r w:rsidR="005B0D40"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(nájomné byty súvisiace k kúpou technickej vybavenosti)</w:t>
      </w:r>
      <w:r w:rsidRPr="008E6506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4343563B" w14:textId="271A98E1" w:rsidR="00FD4BC1" w:rsidRPr="008E6506" w:rsidRDefault="00AB55E2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vlastníctva k predmetu záložného práva </w:t>
      </w:r>
      <w:r w:rsidR="00D45177" w:rsidRPr="008E6506">
        <w:rPr>
          <w:rFonts w:ascii="Arial" w:hAnsi="Arial" w:cs="Arial"/>
          <w:sz w:val="20"/>
          <w:szCs w:val="20"/>
          <w:lang w:val="sk-SK"/>
        </w:rPr>
        <w:t xml:space="preserve">(maximálne 3 mesiace starý)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osvedčujúci vlastníctvo k predmetnej nehnuteľnosti vrátane pozemku pod nehnuteľnosťou</w:t>
      </w:r>
      <w:r w:rsidR="00914FB7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14FB7" w:rsidRPr="00F258C5">
        <w:rPr>
          <w:rFonts w:ascii="Arial" w:hAnsi="Arial" w:cs="Arial"/>
          <w:sz w:val="20"/>
          <w:szCs w:val="20"/>
          <w:lang w:val="sk-SK"/>
        </w:rPr>
        <w:t>spolu s</w:t>
      </w:r>
      <w:r w:rsidR="00914FB7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14FB7" w:rsidRPr="00F50486">
        <w:rPr>
          <w:rFonts w:ascii="Arial" w:hAnsi="Arial" w:cs="Arial"/>
          <w:sz w:val="20"/>
          <w:szCs w:val="20"/>
          <w:lang w:val="sk-SK"/>
        </w:rPr>
        <w:t>spolu s priľahlým pozemkom zabezpečujúcim prístup k verejnej komunikácii,</w:t>
      </w:r>
      <w:r w:rsidR="00914FB7">
        <w:rPr>
          <w:rFonts w:ascii="Arial" w:hAnsi="Arial" w:cs="Arial"/>
          <w:sz w:val="20"/>
          <w:szCs w:val="20"/>
          <w:lang w:val="sk-SK"/>
        </w:rPr>
        <w:t xml:space="preserve">,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bez ťarchy</w:t>
      </w:r>
      <w:r w:rsidR="00FD4BC1"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094FFC9D" w14:textId="682513D6" w:rsidR="00FD4BC1" w:rsidRPr="008E6506" w:rsidRDefault="00FD4BC1" w:rsidP="00FD4BC1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</w:t>
      </w:r>
      <w:r w:rsidR="00C41592" w:rsidRPr="008E6506">
        <w:rPr>
          <w:rFonts w:ascii="Arial" w:hAnsi="Arial" w:cs="Arial"/>
          <w:sz w:val="20"/>
          <w:szCs w:val="20"/>
          <w:lang w:val="sk-SK"/>
        </w:rPr>
        <w:t xml:space="preserve">kceptovaná </w:t>
      </w:r>
      <w:r w:rsidRPr="008E6506">
        <w:rPr>
          <w:rFonts w:ascii="Arial" w:hAnsi="Arial" w:cs="Arial"/>
          <w:sz w:val="20"/>
          <w:szCs w:val="20"/>
          <w:lang w:val="sk-SK"/>
        </w:rPr>
        <w:t>bude</w:t>
      </w:r>
      <w:r w:rsidR="00C41592" w:rsidRPr="008E6506">
        <w:rPr>
          <w:rFonts w:ascii="Arial" w:hAnsi="Arial" w:cs="Arial"/>
          <w:sz w:val="20"/>
          <w:szCs w:val="20"/>
          <w:lang w:val="sk-SK"/>
        </w:rPr>
        <w:t xml:space="preserve"> iba ťarcha doložená prísľubom banky o  vymazaní </w:t>
      </w:r>
      <w:r w:rsidR="00332F2F" w:rsidRPr="008E6506">
        <w:rPr>
          <w:rFonts w:ascii="Arial" w:hAnsi="Arial" w:cs="Arial"/>
          <w:sz w:val="20"/>
          <w:szCs w:val="20"/>
          <w:lang w:val="sk-SK"/>
        </w:rPr>
        <w:t xml:space="preserve">ťarchy </w:t>
      </w:r>
      <w:r w:rsidR="00C41592" w:rsidRPr="008E6506">
        <w:rPr>
          <w:rFonts w:ascii="Arial" w:hAnsi="Arial" w:cs="Arial"/>
          <w:sz w:val="20"/>
          <w:szCs w:val="20"/>
          <w:lang w:val="sk-SK"/>
        </w:rPr>
        <w:t xml:space="preserve">splatením úveru </w:t>
      </w:r>
      <w:r w:rsidR="00914FB7">
        <w:rPr>
          <w:rFonts w:ascii="Arial" w:hAnsi="Arial" w:cs="Arial"/>
          <w:sz w:val="20"/>
          <w:szCs w:val="20"/>
          <w:lang w:val="sk-SK"/>
        </w:rPr>
        <w:t xml:space="preserve">zhotoviteľa </w:t>
      </w:r>
      <w:r w:rsidR="00C41592" w:rsidRPr="008E6506">
        <w:rPr>
          <w:rFonts w:ascii="Arial" w:hAnsi="Arial" w:cs="Arial"/>
          <w:sz w:val="20"/>
          <w:szCs w:val="20"/>
          <w:lang w:val="sk-SK"/>
        </w:rPr>
        <w:t>kúpou predmetnej nehnuteľnosti z úveru ŠFRB.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Potvrdenie banky predávajúceho musí obsahovať najmä tieto údaje:</w:t>
      </w:r>
    </w:p>
    <w:p w14:paraId="46D09917" w14:textId="07321B87" w:rsidR="00E10B12" w:rsidRPr="00F258C5" w:rsidRDefault="00E10B12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F258C5">
        <w:rPr>
          <w:rFonts w:ascii="Arial" w:hAnsi="Arial" w:cs="Arial"/>
          <w:sz w:val="20"/>
          <w:szCs w:val="20"/>
          <w:lang w:val="sk-SK"/>
        </w:rPr>
        <w:t>súhlas banky so založením v prospech ŠFRB</w:t>
      </w:r>
    </w:p>
    <w:p w14:paraId="629D4799" w14:textId="166C3893" w:rsidR="00E10B12" w:rsidRPr="00E10B12" w:rsidRDefault="00FD4BC1" w:rsidP="007804C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E10B12">
        <w:rPr>
          <w:rFonts w:ascii="Arial" w:hAnsi="Arial" w:cs="Arial"/>
          <w:sz w:val="20"/>
          <w:szCs w:val="20"/>
          <w:lang w:val="sk-SK"/>
        </w:rPr>
        <w:t>písomný prísľub banky predávajúceho podať na katastrá</w:t>
      </w:r>
      <w:r w:rsidR="008756AB" w:rsidRPr="00E10B12">
        <w:rPr>
          <w:rFonts w:ascii="Arial" w:hAnsi="Arial" w:cs="Arial"/>
          <w:sz w:val="20"/>
          <w:szCs w:val="20"/>
          <w:lang w:val="sk-SK"/>
        </w:rPr>
        <w:t>l</w:t>
      </w:r>
      <w:r w:rsidRPr="00E10B12">
        <w:rPr>
          <w:rFonts w:ascii="Arial" w:hAnsi="Arial" w:cs="Arial"/>
          <w:sz w:val="20"/>
          <w:szCs w:val="20"/>
          <w:lang w:val="sk-SK"/>
        </w:rPr>
        <w:t>ny odbor okresného úradu žiadosť o výmaz    záložného do 5 dní od pripísania prostriedkov (uvedená výška prostriedkov)</w:t>
      </w:r>
    </w:p>
    <w:p w14:paraId="396DB960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číslo vkladu záložného práva banky predávajúceho</w:t>
      </w:r>
    </w:p>
    <w:p w14:paraId="416D5C0F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číslo úverovej zmluvy uzatvorenej medzi bankou predávajúceho a predávajúcim</w:t>
      </w:r>
    </w:p>
    <w:p w14:paraId="1B719088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zostatok úveru</w:t>
      </w:r>
    </w:p>
    <w:p w14:paraId="6EC26627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číslo účtu, na ktorý majú byť poukázané prostriedky.</w:t>
      </w:r>
    </w:p>
    <w:p w14:paraId="523BA489" w14:textId="77777777" w:rsidR="0041667B" w:rsidRPr="008E6506" w:rsidRDefault="000604B7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znalecký posudok (maximálne 3 mesiace starý</w:t>
      </w:r>
      <w:r w:rsidRPr="008E6506">
        <w:rPr>
          <w:rFonts w:ascii="Arial" w:hAnsi="Arial" w:cs="Arial"/>
          <w:b/>
          <w:sz w:val="20"/>
          <w:szCs w:val="20"/>
          <w:lang w:val="sk-SK"/>
        </w:rPr>
        <w:t>)</w:t>
      </w:r>
      <w:r w:rsidR="0041667B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5B0D40" w:rsidRPr="008E6506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14:paraId="5523F755" w14:textId="77777777" w:rsidR="000604B7" w:rsidRPr="008E6506" w:rsidRDefault="000604B7" w:rsidP="000604B7">
      <w:pPr>
        <w:numPr>
          <w:ilvl w:val="1"/>
          <w:numId w:val="11"/>
        </w:num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</w:t>
      </w:r>
      <w:r w:rsidR="00725682" w:rsidRPr="008E6506">
        <w:rPr>
          <w:rFonts w:ascii="Arial" w:hAnsi="Arial" w:cs="Arial"/>
          <w:sz w:val="20"/>
          <w:szCs w:val="20"/>
          <w:lang w:val="sk-SK"/>
        </w:rPr>
        <w:t>,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na základe ktorého dáva zhotoviteľ (vlastník nehnuteľnosti)  k dispozícii predmetnú nehnuteľnosť dlžníkovi (</w:t>
      </w:r>
      <w:r w:rsidR="00725682" w:rsidRPr="008E6506">
        <w:rPr>
          <w:rFonts w:ascii="Arial" w:hAnsi="Arial" w:cs="Arial"/>
          <w:sz w:val="20"/>
          <w:szCs w:val="20"/>
          <w:lang w:val="sk-SK"/>
        </w:rPr>
        <w:t>žiadateľovi</w:t>
      </w:r>
      <w:r w:rsidR="00201004" w:rsidRPr="008E6506">
        <w:rPr>
          <w:rFonts w:ascii="Arial" w:hAnsi="Arial" w:cs="Arial"/>
          <w:sz w:val="20"/>
          <w:szCs w:val="20"/>
          <w:lang w:val="sk-SK"/>
        </w:rPr>
        <w:t xml:space="preserve">)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na zabezpečenie záväzku voči ŠFRB tzn. súhlas vlastníka, prípadne spoluvlastníkov nehnuteľnosti so zriadením záložného práva v prospech ŠFRB</w:t>
      </w:r>
    </w:p>
    <w:p w14:paraId="5FD4505E" w14:textId="77777777" w:rsidR="00725682" w:rsidRPr="008E6506" w:rsidRDefault="00725682" w:rsidP="00EB2EC3">
      <w:pPr>
        <w:numPr>
          <w:ilvl w:val="1"/>
          <w:numId w:val="11"/>
        </w:num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zriadením vecného bremena práva prechodu a prejazdu „in rem“ na týchto pozemkoch, a to ešte pred termínom otvorenia čerpacieho účtu 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v ŠFRB </w:t>
      </w:r>
      <w:r w:rsidRPr="008E6506">
        <w:rPr>
          <w:rFonts w:ascii="Arial" w:hAnsi="Arial" w:cs="Arial"/>
          <w:sz w:val="20"/>
          <w:szCs w:val="20"/>
          <w:lang w:val="sk-SK"/>
        </w:rPr>
        <w:t>(v prípade, že priľah</w:t>
      </w:r>
      <w:r w:rsidR="00907790">
        <w:rPr>
          <w:rFonts w:ascii="Arial" w:hAnsi="Arial" w:cs="Arial"/>
          <w:sz w:val="20"/>
          <w:szCs w:val="20"/>
          <w:lang w:val="sk-SK"/>
        </w:rPr>
        <w:t>l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é pozemky sú vo vlastníctve inej osoby ako žiadateľa) </w:t>
      </w:r>
    </w:p>
    <w:p w14:paraId="31D9DAFD" w14:textId="77777777" w:rsidR="00F258C5" w:rsidRDefault="00F258C5" w:rsidP="00F258C5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23321C50" w14:textId="77777777" w:rsidR="008D522A" w:rsidRPr="008E6506" w:rsidRDefault="008D522A" w:rsidP="008D522A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zabezpečenie </w:t>
      </w:r>
      <w:r w:rsidR="005C4E0A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inou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nehnuteľnosťou vo vlastníctve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="005C4E0A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žiadateľa</w:t>
      </w:r>
    </w:p>
    <w:p w14:paraId="5474F09E" w14:textId="11D5F8D9" w:rsidR="00C41592" w:rsidRPr="008E6506" w:rsidRDefault="001653DA" w:rsidP="00C41592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8D522A" w:rsidRPr="008E6506">
        <w:rPr>
          <w:rFonts w:ascii="Arial" w:hAnsi="Arial" w:cs="Arial"/>
          <w:sz w:val="20"/>
          <w:szCs w:val="20"/>
          <w:lang w:val="sk-SK"/>
        </w:rPr>
        <w:t xml:space="preserve"> vlastníctva k predmetu záložného práva (maximálne 3 mesiace starý) osvedčujúci vlastníctvo  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žiadateľa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k predmetnej</w:t>
      </w:r>
      <w:r w:rsidR="008D522A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nehnuteľnosti  vrátane pozemku pod nehnuteľnosťou</w:t>
      </w:r>
      <w:r w:rsidR="00914FB7">
        <w:rPr>
          <w:rFonts w:ascii="Arial" w:hAnsi="Arial" w:cs="Arial"/>
          <w:sz w:val="20"/>
          <w:szCs w:val="20"/>
          <w:lang w:val="sk-SK"/>
        </w:rPr>
        <w:t xml:space="preserve"> spolu s </w:t>
      </w:r>
      <w:r w:rsidR="00914FB7" w:rsidRPr="008E6506">
        <w:rPr>
          <w:rFonts w:ascii="Arial" w:hAnsi="Arial" w:cs="Arial"/>
          <w:sz w:val="20"/>
          <w:szCs w:val="20"/>
          <w:lang w:val="sk-SK"/>
        </w:rPr>
        <w:t>priľahlým pozemkom zabezpečujúcim prístup k verejnej komunikácii</w:t>
      </w:r>
      <w:r w:rsidR="00914FB7">
        <w:rPr>
          <w:rFonts w:ascii="Arial" w:hAnsi="Arial" w:cs="Arial"/>
          <w:sz w:val="20"/>
          <w:szCs w:val="20"/>
          <w:lang w:val="sk-SK"/>
        </w:rPr>
        <w:t xml:space="preserve">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, bez ťarchy</w:t>
      </w:r>
    </w:p>
    <w:p w14:paraId="1B1471ED" w14:textId="77777777" w:rsidR="008D522A" w:rsidRPr="008E6506" w:rsidRDefault="008D522A" w:rsidP="008D522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Pr="008E6506">
        <w:rPr>
          <w:rFonts w:ascii="Arial" w:hAnsi="Arial" w:cs="Arial"/>
          <w:b/>
          <w:sz w:val="20"/>
          <w:szCs w:val="20"/>
          <w:lang w:val="sk-SK"/>
        </w:rPr>
        <w:t xml:space="preserve"> - hodnota nehnuteľnosti v znaleckom posudku musí byť vo výške min.1,3 násobku požadovaného úveru</w:t>
      </w:r>
    </w:p>
    <w:p w14:paraId="7A6350A2" w14:textId="77777777" w:rsidR="005C4E0A" w:rsidRPr="008E6506" w:rsidRDefault="005C4E0A" w:rsidP="008D522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lastRenderedPageBreak/>
        <w:t>overené čestné prehlásenie, na základe ktorého dáva vlastník priľahlých pozemkov zabezpečujúcich prístup k verejnej komunikácii súhlas so zriadením vecného bremena práva prechodu a prejazdu „in rem“ na týchto pozemkoch, a to ešte pred termínom otvorenia čerpacieho účtu v ŠFRB (v prípade, že priľah</w:t>
      </w:r>
      <w:r w:rsidR="00907790">
        <w:rPr>
          <w:rFonts w:ascii="Arial" w:hAnsi="Arial" w:cs="Arial"/>
          <w:sz w:val="20"/>
          <w:szCs w:val="20"/>
          <w:lang w:val="sk-SK"/>
        </w:rPr>
        <w:t>l</w:t>
      </w:r>
      <w:r w:rsidRPr="008E6506">
        <w:rPr>
          <w:rFonts w:ascii="Arial" w:hAnsi="Arial" w:cs="Arial"/>
          <w:sz w:val="20"/>
          <w:szCs w:val="20"/>
          <w:lang w:val="sk-SK"/>
        </w:rPr>
        <w:t>é pozemky sú vo vlastníctve inej osoby ako žiadateľa)</w:t>
      </w:r>
    </w:p>
    <w:p w14:paraId="4F195841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1A5B83C4" w14:textId="77777777" w:rsidR="001D1629" w:rsidRPr="008E6506" w:rsidRDefault="000604B7" w:rsidP="004B397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zabezpečenie </w:t>
      </w:r>
      <w:r w:rsidR="005C4E0A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inou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nehnuteľnosťou vo vlastníctve 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inej </w:t>
      </w:r>
      <w:r w:rsidRPr="008E6506">
        <w:rPr>
          <w:rFonts w:ascii="Arial" w:hAnsi="Arial" w:cs="Arial"/>
          <w:b/>
          <w:sz w:val="20"/>
          <w:szCs w:val="20"/>
          <w:lang w:val="sk-SK"/>
        </w:rPr>
        <w:t>(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tretej) osoby ako žiadateľa</w:t>
      </w:r>
    </w:p>
    <w:p w14:paraId="43DABAFD" w14:textId="36DC49E9" w:rsidR="000604B7" w:rsidRPr="00914FB7" w:rsidRDefault="001653DA" w:rsidP="00914FB7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vlastníctva k predmetu záložného práva</w:t>
      </w:r>
      <w:r w:rsidR="005D7ED1" w:rsidRPr="008E6506">
        <w:rPr>
          <w:rFonts w:ascii="Arial" w:hAnsi="Arial" w:cs="Arial"/>
          <w:sz w:val="20"/>
          <w:szCs w:val="20"/>
          <w:lang w:val="sk-SK"/>
        </w:rPr>
        <w:t xml:space="preserve"> (maximálne 3 mesiace starý)</w:t>
      </w:r>
      <w:r w:rsidR="005D7ED1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osvedčujúci vlastníctvo k predmetnej nehnuteľnosti</w:t>
      </w:r>
      <w:r w:rsidR="00914FB7">
        <w:rPr>
          <w:rFonts w:ascii="Arial" w:hAnsi="Arial" w:cs="Arial"/>
          <w:sz w:val="20"/>
          <w:szCs w:val="20"/>
          <w:lang w:val="sk-SK"/>
        </w:rPr>
        <w:t xml:space="preserve"> </w:t>
      </w:r>
      <w:r w:rsidR="00914FB7" w:rsidRPr="00F50486">
        <w:rPr>
          <w:rFonts w:ascii="Arial" w:hAnsi="Arial" w:cs="Arial"/>
          <w:sz w:val="20"/>
          <w:szCs w:val="20"/>
          <w:lang w:val="sk-SK"/>
        </w:rPr>
        <w:t>vrátane pozemku pod nehnuteľnosťou spolu s priľahlým pozemkom zabezpečujúcim prístup k verejnej komunikácii, bez ťarchy</w:t>
      </w:r>
      <w:r w:rsidR="00914FB7">
        <w:rPr>
          <w:rFonts w:ascii="Arial" w:hAnsi="Arial" w:cs="Arial"/>
          <w:b/>
          <w:sz w:val="20"/>
          <w:szCs w:val="20"/>
          <w:lang w:val="sk-SK"/>
        </w:rPr>
        <w:t>,</w:t>
      </w:r>
      <w:r w:rsidR="000604B7" w:rsidRPr="00914FB7">
        <w:rPr>
          <w:rFonts w:ascii="Arial" w:hAnsi="Arial" w:cs="Arial"/>
          <w:sz w:val="20"/>
          <w:szCs w:val="20"/>
          <w:lang w:val="sk-SK"/>
        </w:rPr>
        <w:t xml:space="preserve"> </w:t>
      </w:r>
      <w:r w:rsidR="008957D9" w:rsidRPr="00914FB7">
        <w:rPr>
          <w:rFonts w:ascii="Arial" w:hAnsi="Arial" w:cs="Arial"/>
          <w:sz w:val="20"/>
          <w:szCs w:val="20"/>
          <w:lang w:val="sk-SK"/>
        </w:rPr>
        <w:t xml:space="preserve"> bez ťarchy</w:t>
      </w:r>
    </w:p>
    <w:p w14:paraId="0C24C93D" w14:textId="77777777" w:rsidR="0041667B" w:rsidRPr="008E6506" w:rsidRDefault="000604B7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aktuálny znalecký </w:t>
      </w:r>
      <w:r w:rsidR="00FC6B21" w:rsidRPr="008E6506">
        <w:rPr>
          <w:rFonts w:ascii="Arial" w:hAnsi="Arial" w:cs="Arial"/>
          <w:sz w:val="20"/>
          <w:szCs w:val="20"/>
          <w:lang w:val="sk-SK"/>
        </w:rPr>
        <w:t xml:space="preserve">   </w:t>
      </w:r>
      <w:r w:rsidRPr="008E6506">
        <w:rPr>
          <w:rFonts w:ascii="Arial" w:hAnsi="Arial" w:cs="Arial"/>
          <w:sz w:val="20"/>
          <w:szCs w:val="20"/>
          <w:lang w:val="sk-SK"/>
        </w:rPr>
        <w:t>posudok (maximálne 3 mesiace starý)</w:t>
      </w:r>
      <w:r w:rsidR="0041667B" w:rsidRPr="008E6506">
        <w:rPr>
          <w:rFonts w:ascii="Arial" w:hAnsi="Arial" w:cs="Arial"/>
          <w:b/>
          <w:sz w:val="20"/>
          <w:szCs w:val="20"/>
          <w:lang w:val="sk-SK"/>
        </w:rPr>
        <w:t xml:space="preserve"> - hodnota nehnuteľnosti v znaleckom posudku musí byť vo výške min.1,3 násobku požadovaného úveru</w:t>
      </w:r>
    </w:p>
    <w:p w14:paraId="7A48DAD6" w14:textId="77777777" w:rsidR="000604B7" w:rsidRPr="008E6506" w:rsidRDefault="000604B7" w:rsidP="004B3975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 na základe, ktorého dáva vlastník nehnuteľnosti k dispozícii predmetnú nehnuteľnosť dlžníkovi (</w:t>
      </w:r>
      <w:r w:rsidR="005C4E0A" w:rsidRPr="008E6506">
        <w:rPr>
          <w:rFonts w:ascii="Arial" w:hAnsi="Arial" w:cs="Arial"/>
          <w:sz w:val="20"/>
          <w:szCs w:val="20"/>
          <w:lang w:val="sk-SK"/>
        </w:rPr>
        <w:t>žiadateľovi</w:t>
      </w:r>
      <w:r w:rsidRPr="008E6506">
        <w:rPr>
          <w:rFonts w:ascii="Arial" w:hAnsi="Arial" w:cs="Arial"/>
          <w:sz w:val="20"/>
          <w:szCs w:val="20"/>
          <w:lang w:val="sk-SK"/>
        </w:rPr>
        <w:t>) na zabezpečenie záväzku voči ŠFRB tzn. súhlas vlastníka, prípadne spoluvlastníkov nehnuteľnosti so zriadením záložného práva v prospech ŠFRB</w:t>
      </w:r>
    </w:p>
    <w:p w14:paraId="58002DFD" w14:textId="77777777" w:rsidR="005C4E0A" w:rsidRPr="008E6506" w:rsidRDefault="005C4E0A" w:rsidP="005C4E0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prehlásenie, na základe ktorého dáva vlastník priľahlých pozemkov zabezpečujúcich prístup k verejnej komunikácii súhlas so zriadením vecného bremena práva prechodu a prejazdu „in rem“ na týchto pozemkoch, a to ešte pred termínom otvorenia čerpacieho účtu v ŠFRB (v prípade, že priľah</w:t>
      </w:r>
      <w:r w:rsidR="00907790">
        <w:rPr>
          <w:rFonts w:ascii="Arial" w:hAnsi="Arial" w:cs="Arial"/>
          <w:sz w:val="20"/>
          <w:szCs w:val="20"/>
          <w:lang w:val="sk-SK"/>
        </w:rPr>
        <w:t>l</w:t>
      </w:r>
      <w:r w:rsidRPr="008E6506">
        <w:rPr>
          <w:rFonts w:ascii="Arial" w:hAnsi="Arial" w:cs="Arial"/>
          <w:sz w:val="20"/>
          <w:szCs w:val="20"/>
          <w:lang w:val="sk-SK"/>
        </w:rPr>
        <w:t>é pozemky sú vo vlastníctve inej osoby ako žiadateľa)</w:t>
      </w:r>
    </w:p>
    <w:p w14:paraId="19F132A2" w14:textId="77777777" w:rsidR="000604B7" w:rsidRPr="008E6506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5301DA8" w14:textId="77777777" w:rsidR="005B0D40" w:rsidRPr="008E6506" w:rsidRDefault="000604B7" w:rsidP="005B0D4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Znalecký posudok musí byť vypracovaný na všetky zakladané nehnuteľnosti.</w:t>
      </w:r>
      <w:r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5B0D40" w:rsidRPr="008E6506">
        <w:rPr>
          <w:rFonts w:ascii="Arial" w:hAnsi="Arial" w:cs="Arial"/>
          <w:sz w:val="20"/>
          <w:szCs w:val="20"/>
          <w:lang w:val="sk-SK"/>
        </w:rPr>
        <w:t xml:space="preserve">Pod zakladanými nehnuteľnosťami sa rozumie pozemok na ktorom sa vybuduje technická vybavenosť a tento pozemok je na liste vlastníctva zapísaný ako druh pozemku zastavané plochy a nádvoria. </w:t>
      </w:r>
    </w:p>
    <w:p w14:paraId="32B6F268" w14:textId="77777777" w:rsidR="00914FB7" w:rsidRDefault="005B0D40" w:rsidP="009879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ŠFRB akceptuje na zabezpečenie úveru aj inú nehnuteľnosť </w:t>
      </w:r>
      <w:r w:rsidR="009F4D70">
        <w:rPr>
          <w:rFonts w:ascii="Arial" w:hAnsi="Arial" w:cs="Arial"/>
          <w:sz w:val="20"/>
          <w:szCs w:val="20"/>
          <w:lang w:val="sk-SK"/>
        </w:rPr>
        <w:t>vo vlastníctve žiadateľa, prípadne inej osoby ako žiadateľa</w:t>
      </w:r>
      <w:r w:rsidR="009F4D70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F82085" w:rsidRPr="008E6506">
        <w:rPr>
          <w:rFonts w:ascii="Arial" w:hAnsi="Arial" w:cs="Arial"/>
          <w:sz w:val="20"/>
          <w:szCs w:val="20"/>
          <w:lang w:val="sk-SK"/>
        </w:rPr>
        <w:t xml:space="preserve">–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stavb</w:t>
      </w:r>
      <w:r w:rsidR="00F82085" w:rsidRPr="008E6506">
        <w:rPr>
          <w:rFonts w:ascii="Arial" w:hAnsi="Arial" w:cs="Arial"/>
          <w:sz w:val="20"/>
          <w:szCs w:val="20"/>
          <w:lang w:val="sk-SK"/>
        </w:rPr>
        <w:t>u vrátane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F82085" w:rsidRPr="008E6506">
        <w:rPr>
          <w:rFonts w:ascii="Arial" w:hAnsi="Arial" w:cs="Arial"/>
          <w:sz w:val="20"/>
          <w:szCs w:val="20"/>
          <w:lang w:val="sk-SK"/>
        </w:rPr>
        <w:t>u</w:t>
      </w:r>
      <w:r w:rsidR="000604B7" w:rsidRPr="008E6506">
        <w:rPr>
          <w:rFonts w:ascii="Arial" w:hAnsi="Arial" w:cs="Arial"/>
          <w:sz w:val="20"/>
          <w:szCs w:val="20"/>
          <w:lang w:val="sk-SK"/>
        </w:rPr>
        <w:t>, na ktorom je stavba postavená</w:t>
      </w:r>
      <w:r w:rsidR="00914FB7">
        <w:rPr>
          <w:rFonts w:ascii="Arial" w:hAnsi="Arial" w:cs="Arial"/>
          <w:sz w:val="20"/>
          <w:szCs w:val="20"/>
          <w:lang w:val="sk-SK"/>
        </w:rPr>
        <w:t xml:space="preserve"> </w:t>
      </w:r>
      <w:r w:rsidR="00914FB7" w:rsidRPr="00000619">
        <w:rPr>
          <w:rFonts w:ascii="Arial" w:hAnsi="Arial" w:cs="Arial"/>
          <w:b/>
          <w:sz w:val="20"/>
          <w:szCs w:val="20"/>
          <w:lang w:val="sk-SK"/>
        </w:rPr>
        <w:t>spolu s priľahlými pozemkami zabezp</w:t>
      </w:r>
      <w:r w:rsidR="00914FB7">
        <w:rPr>
          <w:rFonts w:ascii="Arial" w:hAnsi="Arial" w:cs="Arial"/>
          <w:b/>
          <w:sz w:val="20"/>
          <w:szCs w:val="20"/>
          <w:lang w:val="sk-SK"/>
        </w:rPr>
        <w:t>e</w:t>
      </w:r>
      <w:r w:rsidR="00914FB7" w:rsidRPr="00000619">
        <w:rPr>
          <w:rFonts w:ascii="Arial" w:hAnsi="Arial" w:cs="Arial"/>
          <w:b/>
          <w:sz w:val="20"/>
          <w:szCs w:val="20"/>
          <w:lang w:val="sk-SK"/>
        </w:rPr>
        <w:t>čujúcimi prístup k verejnej komunikácii.</w:t>
      </w:r>
    </w:p>
    <w:p w14:paraId="31EEA7B3" w14:textId="1EFDAC61" w:rsidR="00987944" w:rsidRPr="00F258C5" w:rsidRDefault="00914FB7" w:rsidP="00F258C5">
      <w:pPr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prípade, že sú tieto priľahlé pozemky vo vlastníctve inej osoby ako žiadateľa, zriaďuje sa vecné bremeno práva prechodu a prejazdu „in rem“ na  priľahlých pozemkoch zabezpečujúcich prístup k verejnej komunikácii.</w:t>
      </w:r>
    </w:p>
    <w:p w14:paraId="2BA4468F" w14:textId="77777777" w:rsidR="00987944" w:rsidRPr="008E6506" w:rsidRDefault="00987944" w:rsidP="009879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Pozemky nemôžu byť vo vlastníctve SPF.</w:t>
      </w:r>
    </w:p>
    <w:p w14:paraId="5833AF32" w14:textId="77777777" w:rsidR="00F82085" w:rsidRPr="008E6506" w:rsidRDefault="00F82085" w:rsidP="009879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51D4E36F" w14:textId="77777777" w:rsidR="00F82085" w:rsidRPr="008E6506" w:rsidRDefault="00F82085" w:rsidP="00F8208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tiarch.</w:t>
      </w:r>
    </w:p>
    <w:p w14:paraId="7EFD5059" w14:textId="77777777" w:rsidR="00FE4322" w:rsidRDefault="00FE4322" w:rsidP="00B57F8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D4406BF" w14:textId="77777777" w:rsidR="001B456B" w:rsidRPr="008E6506" w:rsidRDefault="001B456B" w:rsidP="001B456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Príloha 41</w:t>
      </w:r>
      <w:r w:rsidR="00E53A56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</w:p>
    <w:p w14:paraId="25C397A5" w14:textId="77777777" w:rsidR="00E47969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lang w:val="sk-SK"/>
        </w:rPr>
        <w:t>Poistnú zmluvu dokladujúcu poistenie nehnuteľnosti pre prípad následkov živelných udalostí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žiadateľ dokladuje v prípade, že je nehnuteľnosť</w:t>
      </w:r>
      <w:r w:rsidR="004139EF" w:rsidRPr="008E6506">
        <w:rPr>
          <w:rFonts w:ascii="Arial" w:hAnsi="Arial" w:cs="Arial"/>
          <w:sz w:val="20"/>
          <w:szCs w:val="20"/>
          <w:lang w:val="sk-SK"/>
        </w:rPr>
        <w:t xml:space="preserve"> (stavba, budova)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poistená. </w:t>
      </w:r>
    </w:p>
    <w:p w14:paraId="5B9D48A4" w14:textId="77777777" w:rsidR="00B9202A" w:rsidRPr="008E6506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 prípade priznania podpory je potrebné poistnú zmluvu dokladovať najneskôr pred otvorením čerpacieho účtu.  </w:t>
      </w:r>
    </w:p>
    <w:p w14:paraId="3BF8A228" w14:textId="77777777" w:rsidR="001B456B" w:rsidRPr="008E6506" w:rsidRDefault="001B456B" w:rsidP="001B456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Potvrdenie o úhrade môže byť dokladované potvrdením poisťovne, výpisom z účtu (nie z internetbankingu), </w:t>
      </w:r>
      <w:r w:rsidR="00535124" w:rsidRPr="008E6506">
        <w:rPr>
          <w:rFonts w:ascii="Arial" w:hAnsi="Arial" w:cs="Arial"/>
          <w:sz w:val="20"/>
          <w:szCs w:val="20"/>
          <w:lang w:val="sk-SK"/>
        </w:rPr>
        <w:t>iným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doklad</w:t>
      </w:r>
      <w:r w:rsidR="00017E72" w:rsidRPr="008E6506">
        <w:rPr>
          <w:rFonts w:ascii="Arial" w:hAnsi="Arial" w:cs="Arial"/>
          <w:sz w:val="20"/>
          <w:szCs w:val="20"/>
          <w:lang w:val="sk-SK"/>
        </w:rPr>
        <w:t>om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o</w:t>
      </w:r>
      <w:r w:rsidR="00201004" w:rsidRPr="008E6506">
        <w:rPr>
          <w:rFonts w:ascii="Arial" w:hAnsi="Arial" w:cs="Arial"/>
          <w:sz w:val="20"/>
          <w:szCs w:val="20"/>
          <w:lang w:val="sk-SK"/>
        </w:rPr>
        <w:t> </w:t>
      </w:r>
      <w:r w:rsidRPr="008E6506">
        <w:rPr>
          <w:rFonts w:ascii="Arial" w:hAnsi="Arial" w:cs="Arial"/>
          <w:sz w:val="20"/>
          <w:szCs w:val="20"/>
          <w:lang w:val="sk-SK"/>
        </w:rPr>
        <w:t>úhrade</w:t>
      </w:r>
      <w:r w:rsidR="00201004" w:rsidRPr="008E6506">
        <w:rPr>
          <w:rFonts w:ascii="Arial" w:hAnsi="Arial" w:cs="Arial"/>
          <w:sz w:val="20"/>
          <w:szCs w:val="20"/>
          <w:lang w:val="sk-SK"/>
        </w:rPr>
        <w:t xml:space="preserve"> s jednoznačne identifikovateľnou platbou</w:t>
      </w:r>
      <w:r w:rsidR="00535124"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4C71A58F" w14:textId="77777777" w:rsidR="001B456B" w:rsidRPr="008E6506" w:rsidRDefault="001B456B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EE92E4C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ríloha 4</w:t>
      </w:r>
      <w:r w:rsidR="00C353FD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2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14:paraId="12A2012A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Zabezpečenie záväzku bankovou zárukou</w:t>
      </w:r>
    </w:p>
    <w:p w14:paraId="6C135CC8" w14:textId="77777777" w:rsidR="00A94B09" w:rsidRPr="008E6506" w:rsidRDefault="00A94B09" w:rsidP="00A94B0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- žiadateľ predkladá záväzný písomný prísľub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 banky</w:t>
      </w:r>
      <w:r w:rsidRPr="008E6506">
        <w:rPr>
          <w:rFonts w:ascii="Arial" w:hAnsi="Arial" w:cs="Arial"/>
          <w:sz w:val="20"/>
          <w:szCs w:val="20"/>
          <w:lang w:val="sk-SK"/>
        </w:rPr>
        <w:t>, resp. zmluvu o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 poskytnutí </w:t>
      </w:r>
      <w:r w:rsidRPr="008E6506">
        <w:rPr>
          <w:rFonts w:ascii="Arial" w:hAnsi="Arial" w:cs="Arial"/>
          <w:sz w:val="20"/>
          <w:szCs w:val="20"/>
          <w:lang w:val="sk-SK"/>
        </w:rPr>
        <w:t>záruk</w:t>
      </w:r>
      <w:r w:rsidR="00C35EFC" w:rsidRPr="008E6506">
        <w:rPr>
          <w:rFonts w:ascii="Arial" w:hAnsi="Arial" w:cs="Arial"/>
          <w:sz w:val="20"/>
          <w:szCs w:val="20"/>
          <w:lang w:val="sk-SK"/>
        </w:rPr>
        <w:t>y</w:t>
      </w:r>
      <w:r w:rsidRPr="008E6506">
        <w:rPr>
          <w:rFonts w:ascii="Arial" w:hAnsi="Arial" w:cs="Arial"/>
          <w:sz w:val="20"/>
          <w:szCs w:val="20"/>
          <w:lang w:val="sk-SK"/>
        </w:rPr>
        <w:t>, kde sa banka zaväzuje žiadateľovi v prípade priznania úveru poskytnúť bankovú záruku, ktorá by mala obsahovať jednoznačn</w:t>
      </w:r>
      <w:r w:rsidR="00911AFA" w:rsidRPr="008E6506">
        <w:rPr>
          <w:rFonts w:ascii="Arial" w:hAnsi="Arial" w:cs="Arial"/>
          <w:sz w:val="20"/>
          <w:szCs w:val="20"/>
          <w:lang w:val="sk-SK"/>
        </w:rPr>
        <w:t>ý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záväzok uhrádzať za žiadateľa (dlžníka) včas a v stanovenej výške dlžnú sumu v prípade, ak si dlžník túto svoju povinnosť neplní za obdobie 3 a viac mesiacov.  </w:t>
      </w:r>
      <w:r w:rsidR="00B9202A" w:rsidRPr="008E6506">
        <w:rPr>
          <w:rFonts w:ascii="Arial" w:hAnsi="Arial" w:cs="Arial"/>
          <w:sz w:val="20"/>
          <w:szCs w:val="20"/>
          <w:lang w:val="sk-SK"/>
        </w:rPr>
        <w:t xml:space="preserve">Bankovú záruku na zabezpečenie úveru na účel obstaranie technickej vybavenosti je možné akceptovať len v prípade, že je platná počas celej lehoty splácania úveru.                 </w:t>
      </w:r>
      <w:r w:rsidR="00B9202A" w:rsidRPr="008E6506">
        <w:rPr>
          <w:rFonts w:ascii="Arial" w:hAnsi="Arial" w:cs="Arial"/>
          <w:b/>
          <w:bCs/>
          <w:sz w:val="20"/>
          <w:szCs w:val="20"/>
          <w:lang w:val="sk-SK"/>
        </w:rPr>
        <w:t xml:space="preserve">                           </w:t>
      </w:r>
      <w:r w:rsidR="00B9202A" w:rsidRPr="008E6506">
        <w:rPr>
          <w:rFonts w:ascii="Arial" w:hAnsi="Arial" w:cs="Arial"/>
          <w:sz w:val="20"/>
          <w:szCs w:val="20"/>
          <w:lang w:val="sk-SK"/>
        </w:rPr>
        <w:t xml:space="preserve">                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Pr="008E6506">
        <w:rPr>
          <w:rFonts w:ascii="Arial" w:hAnsi="Arial" w:cs="Arial"/>
          <w:b/>
          <w:bCs/>
          <w:sz w:val="20"/>
          <w:szCs w:val="20"/>
          <w:lang w:val="sk-SK"/>
        </w:rPr>
        <w:t xml:space="preserve">                          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                                          </w:t>
      </w:r>
    </w:p>
    <w:p w14:paraId="3DDB4B29" w14:textId="77777777" w:rsidR="000604B7" w:rsidRPr="008E6506" w:rsidRDefault="003C6C47" w:rsidP="003C6C4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20DF29F4" w14:textId="77777777" w:rsidR="00DC1E59" w:rsidRPr="008E6506" w:rsidRDefault="00DF3880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</w:t>
      </w:r>
      <w:r w:rsidR="000604B7" w:rsidRPr="008E6506">
        <w:rPr>
          <w:rFonts w:ascii="Arial" w:hAnsi="Arial" w:cs="Arial"/>
          <w:sz w:val="20"/>
          <w:szCs w:val="20"/>
          <w:lang w:val="sk-SK"/>
        </w:rPr>
        <w:t>oznámka: indikatívny prísľub banky o poskytnutí bankovej záruky nie je  záväzným dokladom banky, žiadateľ nemá k dispozícii žiadnu formu zábezpeky úveru poskytnutého ŠFRB – žiadosť je považovaná za neúplnú</w:t>
      </w:r>
      <w:r w:rsidRPr="008E6506">
        <w:rPr>
          <w:rFonts w:ascii="Arial" w:hAnsi="Arial" w:cs="Arial"/>
          <w:sz w:val="20"/>
          <w:szCs w:val="20"/>
          <w:lang w:val="sk-SK"/>
        </w:rPr>
        <w:t>.</w:t>
      </w:r>
    </w:p>
    <w:sectPr w:rsidR="00DC1E59" w:rsidRPr="008E6506" w:rsidSect="00C52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57310" w14:textId="77777777" w:rsidR="005E7F65" w:rsidRDefault="005E7F65">
      <w:r>
        <w:separator/>
      </w:r>
    </w:p>
  </w:endnote>
  <w:endnote w:type="continuationSeparator" w:id="0">
    <w:p w14:paraId="250364B8" w14:textId="77777777" w:rsidR="005E7F65" w:rsidRDefault="005E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008D" w14:textId="77777777" w:rsidR="007804C4" w:rsidRDefault="007804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7CE3AF" w14:textId="77777777" w:rsidR="007804C4" w:rsidRDefault="007804C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6E8D" w14:textId="56A4230A" w:rsidR="007804C4" w:rsidRPr="00A44B7E" w:rsidRDefault="007804C4" w:rsidP="00A44B7E">
    <w:pPr>
      <w:pStyle w:val="Pta"/>
      <w:rPr>
        <w:lang w:val="sk-SK"/>
      </w:rPr>
    </w:pPr>
    <w:r w:rsidRPr="00A44B7E">
      <w:rPr>
        <w:rFonts w:ascii="Arial" w:hAnsi="Arial" w:cs="Arial"/>
        <w:color w:val="808080"/>
        <w:lang w:val="sk-SK"/>
      </w:rPr>
      <w:t>ŠFRB_ŽIADOSŤ O POSKYTNUTIE PODPORY</w:t>
    </w:r>
    <w:r w:rsidRPr="008C28D8">
      <w:rPr>
        <w:rFonts w:ascii="Arial" w:hAnsi="Arial" w:cs="Arial"/>
        <w:color w:val="808080"/>
      </w:rPr>
      <w:t>_</w:t>
    </w:r>
    <w:r w:rsidR="00D77B92">
      <w:rPr>
        <w:rFonts w:ascii="Arial" w:hAnsi="Arial" w:cs="Arial"/>
        <w:color w:val="808080"/>
      </w:rPr>
      <w:t>POr-TV-kúpa</w:t>
    </w:r>
    <w:r>
      <w:rPr>
        <w:rFonts w:ascii="Arial" w:hAnsi="Arial" w:cs="Arial"/>
        <w:color w:val="808080"/>
      </w:rPr>
      <w:t>_01_2018</w:t>
    </w:r>
    <w:r w:rsidRPr="00A44B7E">
      <w:rPr>
        <w:rFonts w:ascii="Arial" w:hAnsi="Arial" w:cs="Arial"/>
        <w:lang w:val="sk-SK"/>
      </w:rPr>
      <w:tab/>
    </w:r>
    <w:r w:rsidRPr="00A44B7E">
      <w:rPr>
        <w:rFonts w:ascii="Arial" w:hAnsi="Arial" w:cs="Arial"/>
        <w:sz w:val="22"/>
        <w:szCs w:val="22"/>
        <w:lang w:val="sk-SK"/>
      </w:rPr>
      <w:t xml:space="preserve">Strana  </w:t>
    </w:r>
    <w:r w:rsidRPr="00A44B7E">
      <w:rPr>
        <w:rFonts w:ascii="Arial" w:hAnsi="Arial" w:cs="Arial"/>
        <w:sz w:val="22"/>
        <w:szCs w:val="22"/>
        <w:lang w:val="sk-SK"/>
      </w:rPr>
      <w:fldChar w:fldCharType="begin"/>
    </w:r>
    <w:r w:rsidRPr="00A44B7E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A44B7E">
      <w:rPr>
        <w:rFonts w:ascii="Arial" w:hAnsi="Arial" w:cs="Arial"/>
        <w:sz w:val="22"/>
        <w:szCs w:val="22"/>
        <w:lang w:val="sk-SK"/>
      </w:rPr>
      <w:fldChar w:fldCharType="separate"/>
    </w:r>
    <w:r w:rsidR="0021776F">
      <w:rPr>
        <w:rFonts w:ascii="Arial" w:hAnsi="Arial" w:cs="Arial"/>
        <w:noProof/>
        <w:sz w:val="22"/>
        <w:szCs w:val="22"/>
        <w:lang w:val="sk-SK"/>
      </w:rPr>
      <w:t>2</w:t>
    </w:r>
    <w:r w:rsidRPr="00A44B7E">
      <w:rPr>
        <w:rFonts w:ascii="Arial" w:hAnsi="Arial" w:cs="Arial"/>
        <w:sz w:val="22"/>
        <w:szCs w:val="2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D1B4" w14:textId="04AACBE2" w:rsidR="007804C4" w:rsidRPr="00A44B7E" w:rsidRDefault="007804C4" w:rsidP="006C11E3">
    <w:pPr>
      <w:pStyle w:val="Pta"/>
      <w:rPr>
        <w:lang w:val="sk-SK"/>
      </w:rPr>
    </w:pPr>
    <w:r w:rsidRPr="00A44B7E">
      <w:rPr>
        <w:rFonts w:ascii="Arial" w:hAnsi="Arial" w:cs="Arial"/>
        <w:color w:val="808080"/>
        <w:lang w:val="sk-SK"/>
      </w:rPr>
      <w:t>ŠFRB_ŽIADOSŤ O POSKYTNUTIE PODPORY</w:t>
    </w:r>
    <w:r>
      <w:rPr>
        <w:rFonts w:ascii="Arial" w:hAnsi="Arial" w:cs="Arial"/>
        <w:color w:val="808080"/>
      </w:rPr>
      <w:t>_</w:t>
    </w:r>
    <w:r w:rsidR="00F57DC6">
      <w:rPr>
        <w:rFonts w:ascii="Arial" w:hAnsi="Arial" w:cs="Arial"/>
        <w:color w:val="808080"/>
      </w:rPr>
      <w:t>POr-TV-kúpa</w:t>
    </w:r>
    <w:r>
      <w:rPr>
        <w:rFonts w:ascii="Arial" w:hAnsi="Arial" w:cs="Arial"/>
        <w:color w:val="808080"/>
      </w:rPr>
      <w:t>_01_2018</w:t>
    </w:r>
    <w:r>
      <w:rPr>
        <w:rFonts w:ascii="Arial" w:hAnsi="Arial" w:cs="Arial"/>
        <w:color w:val="808080"/>
      </w:rPr>
      <w:tab/>
    </w:r>
    <w:r w:rsidRPr="00A44B7E">
      <w:rPr>
        <w:rFonts w:ascii="Arial" w:hAnsi="Arial" w:cs="Arial"/>
        <w:sz w:val="22"/>
        <w:szCs w:val="22"/>
        <w:lang w:val="sk-SK"/>
      </w:rPr>
      <w:t xml:space="preserve">Strana  </w:t>
    </w:r>
    <w:r w:rsidRPr="00A44B7E">
      <w:rPr>
        <w:rFonts w:ascii="Arial" w:hAnsi="Arial" w:cs="Arial"/>
        <w:sz w:val="22"/>
        <w:szCs w:val="22"/>
        <w:lang w:val="sk-SK"/>
      </w:rPr>
      <w:fldChar w:fldCharType="begin"/>
    </w:r>
    <w:r w:rsidRPr="00A44B7E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A44B7E">
      <w:rPr>
        <w:rFonts w:ascii="Arial" w:hAnsi="Arial" w:cs="Arial"/>
        <w:sz w:val="22"/>
        <w:szCs w:val="22"/>
        <w:lang w:val="sk-SK"/>
      </w:rPr>
      <w:fldChar w:fldCharType="separate"/>
    </w:r>
    <w:r w:rsidR="0021776F">
      <w:rPr>
        <w:rFonts w:ascii="Arial" w:hAnsi="Arial" w:cs="Arial"/>
        <w:noProof/>
        <w:sz w:val="22"/>
        <w:szCs w:val="22"/>
        <w:lang w:val="sk-SK"/>
      </w:rPr>
      <w:t>1</w:t>
    </w:r>
    <w:r w:rsidRPr="00A44B7E">
      <w:rPr>
        <w:rFonts w:ascii="Arial" w:hAnsi="Arial" w:cs="Arial"/>
        <w:sz w:val="22"/>
        <w:szCs w:val="22"/>
        <w:lang w:val="sk-SK"/>
      </w:rPr>
      <w:fldChar w:fldCharType="end"/>
    </w:r>
  </w:p>
  <w:p w14:paraId="263BA735" w14:textId="77777777" w:rsidR="007804C4" w:rsidRDefault="007804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C4DF" w14:textId="77777777" w:rsidR="005E7F65" w:rsidRDefault="005E7F65">
      <w:r>
        <w:separator/>
      </w:r>
    </w:p>
  </w:footnote>
  <w:footnote w:type="continuationSeparator" w:id="0">
    <w:p w14:paraId="31735F5C" w14:textId="77777777" w:rsidR="005E7F65" w:rsidRDefault="005E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7D99" w14:textId="77777777" w:rsidR="007804C4" w:rsidRDefault="007804C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5A0AA8" w14:textId="77777777" w:rsidR="007804C4" w:rsidRDefault="007804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D4ED" w14:textId="77777777" w:rsidR="007804C4" w:rsidRPr="00CF6A11" w:rsidRDefault="007804C4" w:rsidP="00BF3867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r w:rsidRPr="00CF6A11">
      <w:rPr>
        <w:rFonts w:ascii="Arial" w:hAnsi="Arial" w:cs="Arial"/>
        <w:b/>
        <w:color w:val="808080"/>
      </w:rPr>
      <w:t>Štátny fond rozvoja bývania</w:t>
    </w:r>
  </w:p>
  <w:p w14:paraId="0C906743" w14:textId="77777777" w:rsidR="007804C4" w:rsidRDefault="007804C4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7804C4" w14:paraId="160D3C7E" w14:textId="77777777" w:rsidTr="006510D0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95A3BA3" w14:textId="77777777" w:rsidR="007804C4" w:rsidRDefault="007804C4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sk-SK" w:eastAsia="sk-SK"/>
            </w:rPr>
            <w:drawing>
              <wp:inline distT="0" distB="0" distL="0" distR="0" wp14:anchorId="2A967108" wp14:editId="687AFE9E">
                <wp:extent cx="2333625" cy="885825"/>
                <wp:effectExtent l="0" t="0" r="9525" b="9525"/>
                <wp:docPr id="2" name="Obrázok 2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AE9816" w14:textId="77777777" w:rsidR="007804C4" w:rsidRDefault="007804C4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14:paraId="14D65F9B" w14:textId="77777777" w:rsidR="007804C4" w:rsidRDefault="007804C4" w:rsidP="00F551C1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Platnosť dokumentu od: 1. 1. 2018  </w:t>
    </w:r>
  </w:p>
  <w:p w14:paraId="7F1E68C3" w14:textId="77777777" w:rsidR="007804C4" w:rsidRDefault="007804C4" w:rsidP="00F551C1">
    <w:pPr>
      <w:pStyle w:val="Hlavika"/>
    </w:pPr>
  </w:p>
  <w:p w14:paraId="4CA60E87" w14:textId="77777777" w:rsidR="007804C4" w:rsidRDefault="007804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B59"/>
    <w:multiLevelType w:val="hybridMultilevel"/>
    <w:tmpl w:val="BBAA0D86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16B"/>
    <w:multiLevelType w:val="hybridMultilevel"/>
    <w:tmpl w:val="1C180D94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FD"/>
    <w:multiLevelType w:val="hybridMultilevel"/>
    <w:tmpl w:val="737CE6FA"/>
    <w:lvl w:ilvl="0" w:tplc="F3629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E25"/>
    <w:multiLevelType w:val="hybridMultilevel"/>
    <w:tmpl w:val="77F80904"/>
    <w:lvl w:ilvl="0" w:tplc="3990A95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818"/>
    <w:multiLevelType w:val="hybridMultilevel"/>
    <w:tmpl w:val="510C9526"/>
    <w:lvl w:ilvl="0" w:tplc="F7E260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0C10F4"/>
    <w:multiLevelType w:val="hybridMultilevel"/>
    <w:tmpl w:val="2098AA44"/>
    <w:lvl w:ilvl="0" w:tplc="0636C56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94E3FCD"/>
    <w:multiLevelType w:val="hybridMultilevel"/>
    <w:tmpl w:val="CD223234"/>
    <w:lvl w:ilvl="0" w:tplc="4F887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2AD"/>
    <w:multiLevelType w:val="hybridMultilevel"/>
    <w:tmpl w:val="7328315A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02C9"/>
    <w:multiLevelType w:val="hybridMultilevel"/>
    <w:tmpl w:val="18246C2C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92ADD"/>
    <w:multiLevelType w:val="hybridMultilevel"/>
    <w:tmpl w:val="4BC06C7E"/>
    <w:lvl w:ilvl="0" w:tplc="F7E26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3E27"/>
    <w:multiLevelType w:val="hybridMultilevel"/>
    <w:tmpl w:val="4456F21A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FC4AAF"/>
    <w:multiLevelType w:val="hybridMultilevel"/>
    <w:tmpl w:val="9A88F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195D"/>
    <w:multiLevelType w:val="hybridMultilevel"/>
    <w:tmpl w:val="90D6F0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06F3"/>
    <w:multiLevelType w:val="hybridMultilevel"/>
    <w:tmpl w:val="77CA1BAC"/>
    <w:lvl w:ilvl="0" w:tplc="F7E26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74EA"/>
    <w:multiLevelType w:val="hybridMultilevel"/>
    <w:tmpl w:val="0E8665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407D"/>
    <w:multiLevelType w:val="hybridMultilevel"/>
    <w:tmpl w:val="73501E7C"/>
    <w:lvl w:ilvl="0" w:tplc="D9C01A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5777B"/>
    <w:multiLevelType w:val="hybridMultilevel"/>
    <w:tmpl w:val="0EDE9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6144"/>
    <w:multiLevelType w:val="hybridMultilevel"/>
    <w:tmpl w:val="88022390"/>
    <w:lvl w:ilvl="0" w:tplc="0636C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9" w15:restartNumberingAfterBreak="0">
    <w:nsid w:val="572D258C"/>
    <w:multiLevelType w:val="hybridMultilevel"/>
    <w:tmpl w:val="2C2866E4"/>
    <w:lvl w:ilvl="0" w:tplc="491E6E74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1CD4"/>
    <w:multiLevelType w:val="hybridMultilevel"/>
    <w:tmpl w:val="71AC57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B5F93"/>
    <w:multiLevelType w:val="hybridMultilevel"/>
    <w:tmpl w:val="ABDEE52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B3664"/>
    <w:multiLevelType w:val="hybridMultilevel"/>
    <w:tmpl w:val="D410F70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075FB"/>
    <w:multiLevelType w:val="hybridMultilevel"/>
    <w:tmpl w:val="F028F0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9E0040"/>
    <w:multiLevelType w:val="hybridMultilevel"/>
    <w:tmpl w:val="6AFA95FC"/>
    <w:lvl w:ilvl="0" w:tplc="5EBA9D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2169E"/>
    <w:multiLevelType w:val="hybridMultilevel"/>
    <w:tmpl w:val="A8764CE0"/>
    <w:lvl w:ilvl="0" w:tplc="B0CC29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66E2F"/>
    <w:multiLevelType w:val="hybridMultilevel"/>
    <w:tmpl w:val="A50E8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2DE0"/>
    <w:multiLevelType w:val="hybridMultilevel"/>
    <w:tmpl w:val="5E1E33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28CE"/>
    <w:multiLevelType w:val="hybridMultilevel"/>
    <w:tmpl w:val="86C0161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7E37"/>
    <w:multiLevelType w:val="hybridMultilevel"/>
    <w:tmpl w:val="8D9AE2B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6E77"/>
    <w:multiLevelType w:val="hybridMultilevel"/>
    <w:tmpl w:val="0D42E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77BA1"/>
    <w:multiLevelType w:val="hybridMultilevel"/>
    <w:tmpl w:val="79F64A50"/>
    <w:lvl w:ilvl="0" w:tplc="FAC8532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B698D"/>
    <w:multiLevelType w:val="hybridMultilevel"/>
    <w:tmpl w:val="2020AC94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986A50"/>
    <w:multiLevelType w:val="hybridMultilevel"/>
    <w:tmpl w:val="7C4CEFA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30"/>
  </w:num>
  <w:num w:numId="6">
    <w:abstractNumId w:val="22"/>
  </w:num>
  <w:num w:numId="7">
    <w:abstractNumId w:val="26"/>
  </w:num>
  <w:num w:numId="8">
    <w:abstractNumId w:val="0"/>
  </w:num>
  <w:num w:numId="9">
    <w:abstractNumId w:val="8"/>
  </w:num>
  <w:num w:numId="10">
    <w:abstractNumId w:val="2"/>
  </w:num>
  <w:num w:numId="11">
    <w:abstractNumId w:val="24"/>
  </w:num>
  <w:num w:numId="12">
    <w:abstractNumId w:val="23"/>
  </w:num>
  <w:num w:numId="13">
    <w:abstractNumId w:val="34"/>
  </w:num>
  <w:num w:numId="14">
    <w:abstractNumId w:val="16"/>
  </w:num>
  <w:num w:numId="15">
    <w:abstractNumId w:val="20"/>
  </w:num>
  <w:num w:numId="16">
    <w:abstractNumId w:val="31"/>
  </w:num>
  <w:num w:numId="17">
    <w:abstractNumId w:val="18"/>
  </w:num>
  <w:num w:numId="18">
    <w:abstractNumId w:val="6"/>
  </w:num>
  <w:num w:numId="19">
    <w:abstractNumId w:val="15"/>
  </w:num>
  <w:num w:numId="20">
    <w:abstractNumId w:val="27"/>
  </w:num>
  <w:num w:numId="21">
    <w:abstractNumId w:val="33"/>
  </w:num>
  <w:num w:numId="22">
    <w:abstractNumId w:val="9"/>
  </w:num>
  <w:num w:numId="23">
    <w:abstractNumId w:val="12"/>
  </w:num>
  <w:num w:numId="24">
    <w:abstractNumId w:val="22"/>
  </w:num>
  <w:num w:numId="25">
    <w:abstractNumId w:val="11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14"/>
  </w:num>
  <w:num w:numId="30">
    <w:abstractNumId w:val="10"/>
  </w:num>
  <w:num w:numId="31">
    <w:abstractNumId w:val="28"/>
  </w:num>
  <w:num w:numId="32">
    <w:abstractNumId w:val="25"/>
  </w:num>
  <w:num w:numId="33">
    <w:abstractNumId w:val="4"/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0"/>
    <w:rsid w:val="000000BC"/>
    <w:rsid w:val="00000EA5"/>
    <w:rsid w:val="00001522"/>
    <w:rsid w:val="00005994"/>
    <w:rsid w:val="00007A6B"/>
    <w:rsid w:val="00012512"/>
    <w:rsid w:val="00014598"/>
    <w:rsid w:val="00015E0A"/>
    <w:rsid w:val="00017807"/>
    <w:rsid w:val="00017D5B"/>
    <w:rsid w:val="00017E72"/>
    <w:rsid w:val="00020675"/>
    <w:rsid w:val="00020D2C"/>
    <w:rsid w:val="00025191"/>
    <w:rsid w:val="0002573B"/>
    <w:rsid w:val="00027EFF"/>
    <w:rsid w:val="00030A92"/>
    <w:rsid w:val="00032C54"/>
    <w:rsid w:val="000339CB"/>
    <w:rsid w:val="00037140"/>
    <w:rsid w:val="0003762E"/>
    <w:rsid w:val="0004074E"/>
    <w:rsid w:val="0004184A"/>
    <w:rsid w:val="00042036"/>
    <w:rsid w:val="00043CB4"/>
    <w:rsid w:val="0005263A"/>
    <w:rsid w:val="000604B7"/>
    <w:rsid w:val="0006142F"/>
    <w:rsid w:val="00063F31"/>
    <w:rsid w:val="00070305"/>
    <w:rsid w:val="0007139F"/>
    <w:rsid w:val="00071FBC"/>
    <w:rsid w:val="00074005"/>
    <w:rsid w:val="000746E7"/>
    <w:rsid w:val="00084884"/>
    <w:rsid w:val="00084EC5"/>
    <w:rsid w:val="00087470"/>
    <w:rsid w:val="00091601"/>
    <w:rsid w:val="000922D2"/>
    <w:rsid w:val="00092640"/>
    <w:rsid w:val="0009456A"/>
    <w:rsid w:val="00094DBF"/>
    <w:rsid w:val="000A02D3"/>
    <w:rsid w:val="000A0526"/>
    <w:rsid w:val="000A6425"/>
    <w:rsid w:val="000A7044"/>
    <w:rsid w:val="000B0017"/>
    <w:rsid w:val="000B689E"/>
    <w:rsid w:val="000C2B25"/>
    <w:rsid w:val="000C40ED"/>
    <w:rsid w:val="000D2E06"/>
    <w:rsid w:val="000D4A66"/>
    <w:rsid w:val="000D5058"/>
    <w:rsid w:val="000D51DD"/>
    <w:rsid w:val="000E5426"/>
    <w:rsid w:val="000F3AF5"/>
    <w:rsid w:val="00100DA6"/>
    <w:rsid w:val="00102E00"/>
    <w:rsid w:val="0010501A"/>
    <w:rsid w:val="001054EC"/>
    <w:rsid w:val="0010657A"/>
    <w:rsid w:val="0011016C"/>
    <w:rsid w:val="00110D5B"/>
    <w:rsid w:val="001110D8"/>
    <w:rsid w:val="00112C9F"/>
    <w:rsid w:val="00117C3F"/>
    <w:rsid w:val="00120643"/>
    <w:rsid w:val="001215D0"/>
    <w:rsid w:val="00124EE9"/>
    <w:rsid w:val="00127E85"/>
    <w:rsid w:val="00133CB5"/>
    <w:rsid w:val="0013546C"/>
    <w:rsid w:val="001371AB"/>
    <w:rsid w:val="00140C9C"/>
    <w:rsid w:val="00141B6F"/>
    <w:rsid w:val="001512A0"/>
    <w:rsid w:val="00155485"/>
    <w:rsid w:val="0015596B"/>
    <w:rsid w:val="00162BE6"/>
    <w:rsid w:val="001653DA"/>
    <w:rsid w:val="001704D0"/>
    <w:rsid w:val="00172EBB"/>
    <w:rsid w:val="0017419C"/>
    <w:rsid w:val="00175B11"/>
    <w:rsid w:val="00175CE0"/>
    <w:rsid w:val="00176308"/>
    <w:rsid w:val="001805A5"/>
    <w:rsid w:val="00181BD3"/>
    <w:rsid w:val="001826E0"/>
    <w:rsid w:val="00184FA8"/>
    <w:rsid w:val="00186185"/>
    <w:rsid w:val="00190E4C"/>
    <w:rsid w:val="001910BE"/>
    <w:rsid w:val="00191E04"/>
    <w:rsid w:val="001926BF"/>
    <w:rsid w:val="001960A9"/>
    <w:rsid w:val="001A16AF"/>
    <w:rsid w:val="001A3622"/>
    <w:rsid w:val="001A656C"/>
    <w:rsid w:val="001B298C"/>
    <w:rsid w:val="001B2D18"/>
    <w:rsid w:val="001B40D5"/>
    <w:rsid w:val="001B456B"/>
    <w:rsid w:val="001B48E5"/>
    <w:rsid w:val="001B5CA7"/>
    <w:rsid w:val="001B693D"/>
    <w:rsid w:val="001C4DEC"/>
    <w:rsid w:val="001C5EF2"/>
    <w:rsid w:val="001C7416"/>
    <w:rsid w:val="001D1629"/>
    <w:rsid w:val="001D187E"/>
    <w:rsid w:val="001D1AB2"/>
    <w:rsid w:val="001F0413"/>
    <w:rsid w:val="001F0B70"/>
    <w:rsid w:val="001F1CB1"/>
    <w:rsid w:val="001F3122"/>
    <w:rsid w:val="001F40E7"/>
    <w:rsid w:val="001F4757"/>
    <w:rsid w:val="001F55E4"/>
    <w:rsid w:val="001F672A"/>
    <w:rsid w:val="00201004"/>
    <w:rsid w:val="00211662"/>
    <w:rsid w:val="0021337B"/>
    <w:rsid w:val="00213941"/>
    <w:rsid w:val="0021776F"/>
    <w:rsid w:val="00217AC8"/>
    <w:rsid w:val="002249F2"/>
    <w:rsid w:val="00232B0C"/>
    <w:rsid w:val="00240158"/>
    <w:rsid w:val="00241CAC"/>
    <w:rsid w:val="00241E16"/>
    <w:rsid w:val="00250792"/>
    <w:rsid w:val="0025256E"/>
    <w:rsid w:val="00257D04"/>
    <w:rsid w:val="002608B2"/>
    <w:rsid w:val="00265CE6"/>
    <w:rsid w:val="00267AF2"/>
    <w:rsid w:val="00272F1D"/>
    <w:rsid w:val="00275538"/>
    <w:rsid w:val="00277B2A"/>
    <w:rsid w:val="0028542B"/>
    <w:rsid w:val="002866A9"/>
    <w:rsid w:val="00296B89"/>
    <w:rsid w:val="002A1202"/>
    <w:rsid w:val="002A127C"/>
    <w:rsid w:val="002A6859"/>
    <w:rsid w:val="002A7B69"/>
    <w:rsid w:val="002B3DF7"/>
    <w:rsid w:val="002B6EB5"/>
    <w:rsid w:val="002B7E37"/>
    <w:rsid w:val="002C692A"/>
    <w:rsid w:val="002D0A84"/>
    <w:rsid w:val="002D3BF1"/>
    <w:rsid w:val="002D438C"/>
    <w:rsid w:val="002D620E"/>
    <w:rsid w:val="002D7D99"/>
    <w:rsid w:val="002E4999"/>
    <w:rsid w:val="002E50E9"/>
    <w:rsid w:val="002E5755"/>
    <w:rsid w:val="002E5838"/>
    <w:rsid w:val="002F15E6"/>
    <w:rsid w:val="002F2D1C"/>
    <w:rsid w:val="002F4F56"/>
    <w:rsid w:val="002F6783"/>
    <w:rsid w:val="002F73B0"/>
    <w:rsid w:val="0030208D"/>
    <w:rsid w:val="00302366"/>
    <w:rsid w:val="00303571"/>
    <w:rsid w:val="00304671"/>
    <w:rsid w:val="0031320B"/>
    <w:rsid w:val="0031588D"/>
    <w:rsid w:val="003167E8"/>
    <w:rsid w:val="0032058C"/>
    <w:rsid w:val="0032444C"/>
    <w:rsid w:val="00330820"/>
    <w:rsid w:val="00332F2F"/>
    <w:rsid w:val="00333BC0"/>
    <w:rsid w:val="00334F47"/>
    <w:rsid w:val="00336A37"/>
    <w:rsid w:val="00336CDB"/>
    <w:rsid w:val="0033710E"/>
    <w:rsid w:val="003371F4"/>
    <w:rsid w:val="003421D2"/>
    <w:rsid w:val="003449CC"/>
    <w:rsid w:val="00344D1D"/>
    <w:rsid w:val="0034601B"/>
    <w:rsid w:val="003500A8"/>
    <w:rsid w:val="00350C05"/>
    <w:rsid w:val="003514E4"/>
    <w:rsid w:val="00352381"/>
    <w:rsid w:val="00354BB7"/>
    <w:rsid w:val="0035570F"/>
    <w:rsid w:val="00356859"/>
    <w:rsid w:val="00364A5C"/>
    <w:rsid w:val="00372FB5"/>
    <w:rsid w:val="00377C59"/>
    <w:rsid w:val="00386D25"/>
    <w:rsid w:val="00392481"/>
    <w:rsid w:val="00393962"/>
    <w:rsid w:val="003A00CC"/>
    <w:rsid w:val="003A269C"/>
    <w:rsid w:val="003A3486"/>
    <w:rsid w:val="003A4A9F"/>
    <w:rsid w:val="003A55F2"/>
    <w:rsid w:val="003B2430"/>
    <w:rsid w:val="003B34ED"/>
    <w:rsid w:val="003B3971"/>
    <w:rsid w:val="003B4A75"/>
    <w:rsid w:val="003B54F3"/>
    <w:rsid w:val="003B5F77"/>
    <w:rsid w:val="003B734C"/>
    <w:rsid w:val="003B7A7C"/>
    <w:rsid w:val="003C4E3F"/>
    <w:rsid w:val="003C657D"/>
    <w:rsid w:val="003C6C47"/>
    <w:rsid w:val="003C732F"/>
    <w:rsid w:val="003C7C9E"/>
    <w:rsid w:val="003C7E9B"/>
    <w:rsid w:val="003D3B32"/>
    <w:rsid w:val="003D4390"/>
    <w:rsid w:val="003D6F7D"/>
    <w:rsid w:val="003F13DC"/>
    <w:rsid w:val="003F3F6F"/>
    <w:rsid w:val="003F71F8"/>
    <w:rsid w:val="00405CC2"/>
    <w:rsid w:val="00407A31"/>
    <w:rsid w:val="004139EF"/>
    <w:rsid w:val="004151E0"/>
    <w:rsid w:val="0041667B"/>
    <w:rsid w:val="00417FAA"/>
    <w:rsid w:val="0042144F"/>
    <w:rsid w:val="00422519"/>
    <w:rsid w:val="0042451D"/>
    <w:rsid w:val="00431BA1"/>
    <w:rsid w:val="00434D43"/>
    <w:rsid w:val="00435ACA"/>
    <w:rsid w:val="00435F89"/>
    <w:rsid w:val="0043664A"/>
    <w:rsid w:val="00436CA1"/>
    <w:rsid w:val="00441BF6"/>
    <w:rsid w:val="00443989"/>
    <w:rsid w:val="004463FF"/>
    <w:rsid w:val="004464F3"/>
    <w:rsid w:val="00446D60"/>
    <w:rsid w:val="00451DDD"/>
    <w:rsid w:val="004539DC"/>
    <w:rsid w:val="00453FB2"/>
    <w:rsid w:val="00456074"/>
    <w:rsid w:val="0046269F"/>
    <w:rsid w:val="004666AB"/>
    <w:rsid w:val="0046770D"/>
    <w:rsid w:val="00475A57"/>
    <w:rsid w:val="004805E5"/>
    <w:rsid w:val="00482D9D"/>
    <w:rsid w:val="004849D4"/>
    <w:rsid w:val="0048512E"/>
    <w:rsid w:val="00486384"/>
    <w:rsid w:val="004909FD"/>
    <w:rsid w:val="004931CC"/>
    <w:rsid w:val="004950D5"/>
    <w:rsid w:val="004969F5"/>
    <w:rsid w:val="00496BE1"/>
    <w:rsid w:val="004A204B"/>
    <w:rsid w:val="004A5047"/>
    <w:rsid w:val="004A68BF"/>
    <w:rsid w:val="004B118D"/>
    <w:rsid w:val="004B2E25"/>
    <w:rsid w:val="004B3975"/>
    <w:rsid w:val="004B7D27"/>
    <w:rsid w:val="004C00DF"/>
    <w:rsid w:val="004C12FC"/>
    <w:rsid w:val="004C1622"/>
    <w:rsid w:val="004C2713"/>
    <w:rsid w:val="004C28F3"/>
    <w:rsid w:val="004C6D0A"/>
    <w:rsid w:val="004C74D4"/>
    <w:rsid w:val="004C77DB"/>
    <w:rsid w:val="004D26BF"/>
    <w:rsid w:val="004D7F04"/>
    <w:rsid w:val="004E0056"/>
    <w:rsid w:val="004E09DD"/>
    <w:rsid w:val="004E284A"/>
    <w:rsid w:val="004E43FA"/>
    <w:rsid w:val="004E568A"/>
    <w:rsid w:val="004F0888"/>
    <w:rsid w:val="004F72F3"/>
    <w:rsid w:val="005010E4"/>
    <w:rsid w:val="00501B82"/>
    <w:rsid w:val="00504A92"/>
    <w:rsid w:val="005064BD"/>
    <w:rsid w:val="00506CAF"/>
    <w:rsid w:val="00512972"/>
    <w:rsid w:val="005130D5"/>
    <w:rsid w:val="005217FF"/>
    <w:rsid w:val="00533F1D"/>
    <w:rsid w:val="00534A94"/>
    <w:rsid w:val="00534B4A"/>
    <w:rsid w:val="00535124"/>
    <w:rsid w:val="00544E3D"/>
    <w:rsid w:val="005463BE"/>
    <w:rsid w:val="00547B4E"/>
    <w:rsid w:val="00551F0A"/>
    <w:rsid w:val="005523A3"/>
    <w:rsid w:val="005563C0"/>
    <w:rsid w:val="005620FA"/>
    <w:rsid w:val="00562157"/>
    <w:rsid w:val="005639BB"/>
    <w:rsid w:val="00565781"/>
    <w:rsid w:val="00566AF8"/>
    <w:rsid w:val="00573AC6"/>
    <w:rsid w:val="005754AD"/>
    <w:rsid w:val="0058069D"/>
    <w:rsid w:val="00582F3C"/>
    <w:rsid w:val="005830FD"/>
    <w:rsid w:val="00584817"/>
    <w:rsid w:val="00590757"/>
    <w:rsid w:val="005967C5"/>
    <w:rsid w:val="00597915"/>
    <w:rsid w:val="005A366A"/>
    <w:rsid w:val="005A4CD6"/>
    <w:rsid w:val="005A5A90"/>
    <w:rsid w:val="005B0D40"/>
    <w:rsid w:val="005B1643"/>
    <w:rsid w:val="005B2A1C"/>
    <w:rsid w:val="005B3806"/>
    <w:rsid w:val="005B4E5B"/>
    <w:rsid w:val="005B7378"/>
    <w:rsid w:val="005C0DCD"/>
    <w:rsid w:val="005C1E87"/>
    <w:rsid w:val="005C31B9"/>
    <w:rsid w:val="005C3E43"/>
    <w:rsid w:val="005C4937"/>
    <w:rsid w:val="005C4E0A"/>
    <w:rsid w:val="005C70D7"/>
    <w:rsid w:val="005D1355"/>
    <w:rsid w:val="005D195E"/>
    <w:rsid w:val="005D7ED1"/>
    <w:rsid w:val="005E3E91"/>
    <w:rsid w:val="005E43F5"/>
    <w:rsid w:val="005E7F65"/>
    <w:rsid w:val="005F1775"/>
    <w:rsid w:val="005F1B25"/>
    <w:rsid w:val="005F35BE"/>
    <w:rsid w:val="005F7A1A"/>
    <w:rsid w:val="00600065"/>
    <w:rsid w:val="00600638"/>
    <w:rsid w:val="0060209E"/>
    <w:rsid w:val="00612130"/>
    <w:rsid w:val="0061453B"/>
    <w:rsid w:val="0061538A"/>
    <w:rsid w:val="00620D90"/>
    <w:rsid w:val="00621031"/>
    <w:rsid w:val="006218D4"/>
    <w:rsid w:val="00624A9B"/>
    <w:rsid w:val="0063120A"/>
    <w:rsid w:val="006312D5"/>
    <w:rsid w:val="00640970"/>
    <w:rsid w:val="006460EA"/>
    <w:rsid w:val="006510D0"/>
    <w:rsid w:val="00651979"/>
    <w:rsid w:val="00652743"/>
    <w:rsid w:val="00653121"/>
    <w:rsid w:val="00654EB6"/>
    <w:rsid w:val="00655031"/>
    <w:rsid w:val="00655465"/>
    <w:rsid w:val="006568EB"/>
    <w:rsid w:val="00661C22"/>
    <w:rsid w:val="006622BE"/>
    <w:rsid w:val="00663919"/>
    <w:rsid w:val="00664737"/>
    <w:rsid w:val="00664E21"/>
    <w:rsid w:val="00666386"/>
    <w:rsid w:val="0066666E"/>
    <w:rsid w:val="00672DEB"/>
    <w:rsid w:val="00676E0C"/>
    <w:rsid w:val="00680F6D"/>
    <w:rsid w:val="006827EB"/>
    <w:rsid w:val="00683FFE"/>
    <w:rsid w:val="00686452"/>
    <w:rsid w:val="00692017"/>
    <w:rsid w:val="006B17E6"/>
    <w:rsid w:val="006B19F8"/>
    <w:rsid w:val="006B2E3C"/>
    <w:rsid w:val="006B32B1"/>
    <w:rsid w:val="006B59C2"/>
    <w:rsid w:val="006B69FE"/>
    <w:rsid w:val="006C11E3"/>
    <w:rsid w:val="006C302F"/>
    <w:rsid w:val="006C3C6D"/>
    <w:rsid w:val="006C4CD2"/>
    <w:rsid w:val="006C7280"/>
    <w:rsid w:val="006D08D8"/>
    <w:rsid w:val="006D3D2D"/>
    <w:rsid w:val="006D55A9"/>
    <w:rsid w:val="006E0116"/>
    <w:rsid w:val="006E3255"/>
    <w:rsid w:val="006E7524"/>
    <w:rsid w:val="006F11C6"/>
    <w:rsid w:val="006F2E78"/>
    <w:rsid w:val="006F3040"/>
    <w:rsid w:val="00700310"/>
    <w:rsid w:val="00701607"/>
    <w:rsid w:val="00702818"/>
    <w:rsid w:val="00702CEF"/>
    <w:rsid w:val="00710E95"/>
    <w:rsid w:val="00711283"/>
    <w:rsid w:val="00712B5D"/>
    <w:rsid w:val="007140DC"/>
    <w:rsid w:val="00721799"/>
    <w:rsid w:val="0072303E"/>
    <w:rsid w:val="00723713"/>
    <w:rsid w:val="00723E68"/>
    <w:rsid w:val="00725682"/>
    <w:rsid w:val="00731E83"/>
    <w:rsid w:val="007324AE"/>
    <w:rsid w:val="00733296"/>
    <w:rsid w:val="007340A3"/>
    <w:rsid w:val="00734F14"/>
    <w:rsid w:val="007353D4"/>
    <w:rsid w:val="00737199"/>
    <w:rsid w:val="00740F73"/>
    <w:rsid w:val="00745DA8"/>
    <w:rsid w:val="007545AD"/>
    <w:rsid w:val="00760E9A"/>
    <w:rsid w:val="00762A16"/>
    <w:rsid w:val="00763BB6"/>
    <w:rsid w:val="00763CAE"/>
    <w:rsid w:val="007647D5"/>
    <w:rsid w:val="00770E30"/>
    <w:rsid w:val="00770ED1"/>
    <w:rsid w:val="007769EC"/>
    <w:rsid w:val="007804C4"/>
    <w:rsid w:val="007857C7"/>
    <w:rsid w:val="00786DAF"/>
    <w:rsid w:val="00787495"/>
    <w:rsid w:val="00791502"/>
    <w:rsid w:val="00791EA8"/>
    <w:rsid w:val="00792CAF"/>
    <w:rsid w:val="0079352C"/>
    <w:rsid w:val="00797683"/>
    <w:rsid w:val="007A2079"/>
    <w:rsid w:val="007A48C4"/>
    <w:rsid w:val="007A60D8"/>
    <w:rsid w:val="007B0DC5"/>
    <w:rsid w:val="007B3ABA"/>
    <w:rsid w:val="007B4174"/>
    <w:rsid w:val="007B746A"/>
    <w:rsid w:val="007C2E36"/>
    <w:rsid w:val="007C5141"/>
    <w:rsid w:val="007C51B3"/>
    <w:rsid w:val="007C5C78"/>
    <w:rsid w:val="007D3548"/>
    <w:rsid w:val="007D614C"/>
    <w:rsid w:val="007D7708"/>
    <w:rsid w:val="007E04B3"/>
    <w:rsid w:val="007E5DD4"/>
    <w:rsid w:val="007E7603"/>
    <w:rsid w:val="007F15B0"/>
    <w:rsid w:val="007F1681"/>
    <w:rsid w:val="007F2838"/>
    <w:rsid w:val="007F61DF"/>
    <w:rsid w:val="008059F7"/>
    <w:rsid w:val="00812DF7"/>
    <w:rsid w:val="00812E7F"/>
    <w:rsid w:val="0081452A"/>
    <w:rsid w:val="00823135"/>
    <w:rsid w:val="00823887"/>
    <w:rsid w:val="00826BFD"/>
    <w:rsid w:val="00830032"/>
    <w:rsid w:val="00835321"/>
    <w:rsid w:val="00846E01"/>
    <w:rsid w:val="008514D9"/>
    <w:rsid w:val="00855796"/>
    <w:rsid w:val="00861A8A"/>
    <w:rsid w:val="00862BC2"/>
    <w:rsid w:val="0086433B"/>
    <w:rsid w:val="00866235"/>
    <w:rsid w:val="00867E4A"/>
    <w:rsid w:val="008756AB"/>
    <w:rsid w:val="00881DD5"/>
    <w:rsid w:val="00881DE3"/>
    <w:rsid w:val="00883995"/>
    <w:rsid w:val="00885999"/>
    <w:rsid w:val="00886938"/>
    <w:rsid w:val="008871C3"/>
    <w:rsid w:val="00887527"/>
    <w:rsid w:val="00890F55"/>
    <w:rsid w:val="00890FFE"/>
    <w:rsid w:val="00894085"/>
    <w:rsid w:val="0089519C"/>
    <w:rsid w:val="008957D9"/>
    <w:rsid w:val="00895EF4"/>
    <w:rsid w:val="00896C3B"/>
    <w:rsid w:val="008A05C3"/>
    <w:rsid w:val="008A0FC6"/>
    <w:rsid w:val="008A11FC"/>
    <w:rsid w:val="008A3DDD"/>
    <w:rsid w:val="008A426D"/>
    <w:rsid w:val="008A62C1"/>
    <w:rsid w:val="008A78C5"/>
    <w:rsid w:val="008B0A47"/>
    <w:rsid w:val="008B271C"/>
    <w:rsid w:val="008B2856"/>
    <w:rsid w:val="008B5450"/>
    <w:rsid w:val="008C0ED2"/>
    <w:rsid w:val="008C28D8"/>
    <w:rsid w:val="008C3D52"/>
    <w:rsid w:val="008C58FC"/>
    <w:rsid w:val="008C6385"/>
    <w:rsid w:val="008C7054"/>
    <w:rsid w:val="008D14C8"/>
    <w:rsid w:val="008D1D8D"/>
    <w:rsid w:val="008D3F40"/>
    <w:rsid w:val="008D522A"/>
    <w:rsid w:val="008D62BF"/>
    <w:rsid w:val="008D7FCA"/>
    <w:rsid w:val="008E51CF"/>
    <w:rsid w:val="008E5CAF"/>
    <w:rsid w:val="008E6506"/>
    <w:rsid w:val="008E7260"/>
    <w:rsid w:val="008F1234"/>
    <w:rsid w:val="008F167E"/>
    <w:rsid w:val="008F50A3"/>
    <w:rsid w:val="008F6E18"/>
    <w:rsid w:val="00900CD9"/>
    <w:rsid w:val="009067EF"/>
    <w:rsid w:val="00907790"/>
    <w:rsid w:val="00911374"/>
    <w:rsid w:val="00911806"/>
    <w:rsid w:val="00911AFA"/>
    <w:rsid w:val="00914FB7"/>
    <w:rsid w:val="00915C81"/>
    <w:rsid w:val="009171EE"/>
    <w:rsid w:val="00917844"/>
    <w:rsid w:val="00921E16"/>
    <w:rsid w:val="00925018"/>
    <w:rsid w:val="00925CBE"/>
    <w:rsid w:val="009317C8"/>
    <w:rsid w:val="00931A77"/>
    <w:rsid w:val="00936242"/>
    <w:rsid w:val="00936451"/>
    <w:rsid w:val="00937022"/>
    <w:rsid w:val="00941817"/>
    <w:rsid w:val="009436F6"/>
    <w:rsid w:val="009474E5"/>
    <w:rsid w:val="00947D97"/>
    <w:rsid w:val="00947FE3"/>
    <w:rsid w:val="009508CF"/>
    <w:rsid w:val="009518D8"/>
    <w:rsid w:val="0095241C"/>
    <w:rsid w:val="00952AF3"/>
    <w:rsid w:val="00952D91"/>
    <w:rsid w:val="009534CA"/>
    <w:rsid w:val="00956803"/>
    <w:rsid w:val="00960A86"/>
    <w:rsid w:val="00964271"/>
    <w:rsid w:val="00965AA4"/>
    <w:rsid w:val="0097218C"/>
    <w:rsid w:val="00974ED1"/>
    <w:rsid w:val="00975167"/>
    <w:rsid w:val="00980B14"/>
    <w:rsid w:val="0098378B"/>
    <w:rsid w:val="00985B3B"/>
    <w:rsid w:val="00987944"/>
    <w:rsid w:val="00987E8D"/>
    <w:rsid w:val="00990C4B"/>
    <w:rsid w:val="00996094"/>
    <w:rsid w:val="00997251"/>
    <w:rsid w:val="00997E80"/>
    <w:rsid w:val="009A27B0"/>
    <w:rsid w:val="009A3E56"/>
    <w:rsid w:val="009A5C2B"/>
    <w:rsid w:val="009A5CE9"/>
    <w:rsid w:val="009A69E7"/>
    <w:rsid w:val="009B3893"/>
    <w:rsid w:val="009B6D99"/>
    <w:rsid w:val="009C063B"/>
    <w:rsid w:val="009C0986"/>
    <w:rsid w:val="009C3AB4"/>
    <w:rsid w:val="009D1609"/>
    <w:rsid w:val="009D1B74"/>
    <w:rsid w:val="009D2847"/>
    <w:rsid w:val="009D64FD"/>
    <w:rsid w:val="009E1CDB"/>
    <w:rsid w:val="009E5982"/>
    <w:rsid w:val="009F0E85"/>
    <w:rsid w:val="009F4D70"/>
    <w:rsid w:val="009F5E14"/>
    <w:rsid w:val="009F66FD"/>
    <w:rsid w:val="009F6BE6"/>
    <w:rsid w:val="00A03D47"/>
    <w:rsid w:val="00A05FD9"/>
    <w:rsid w:val="00A06CBD"/>
    <w:rsid w:val="00A1155C"/>
    <w:rsid w:val="00A147B1"/>
    <w:rsid w:val="00A16F5D"/>
    <w:rsid w:val="00A17AC5"/>
    <w:rsid w:val="00A17CA6"/>
    <w:rsid w:val="00A2178C"/>
    <w:rsid w:val="00A31060"/>
    <w:rsid w:val="00A31D4F"/>
    <w:rsid w:val="00A360D9"/>
    <w:rsid w:val="00A36E74"/>
    <w:rsid w:val="00A40258"/>
    <w:rsid w:val="00A41573"/>
    <w:rsid w:val="00A42180"/>
    <w:rsid w:val="00A43835"/>
    <w:rsid w:val="00A44AC3"/>
    <w:rsid w:val="00A44B7E"/>
    <w:rsid w:val="00A51898"/>
    <w:rsid w:val="00A52088"/>
    <w:rsid w:val="00A52A3D"/>
    <w:rsid w:val="00A52C60"/>
    <w:rsid w:val="00A547B1"/>
    <w:rsid w:val="00A55DAA"/>
    <w:rsid w:val="00A70598"/>
    <w:rsid w:val="00A70A04"/>
    <w:rsid w:val="00A71993"/>
    <w:rsid w:val="00A75109"/>
    <w:rsid w:val="00A76CED"/>
    <w:rsid w:val="00A7750D"/>
    <w:rsid w:val="00A846AE"/>
    <w:rsid w:val="00A875A4"/>
    <w:rsid w:val="00A91E78"/>
    <w:rsid w:val="00A93E3F"/>
    <w:rsid w:val="00A94286"/>
    <w:rsid w:val="00A94B09"/>
    <w:rsid w:val="00A974BF"/>
    <w:rsid w:val="00AA0256"/>
    <w:rsid w:val="00AA0B9F"/>
    <w:rsid w:val="00AA13B1"/>
    <w:rsid w:val="00AA6B07"/>
    <w:rsid w:val="00AA7826"/>
    <w:rsid w:val="00AB0B65"/>
    <w:rsid w:val="00AB39A2"/>
    <w:rsid w:val="00AB4E77"/>
    <w:rsid w:val="00AB55E2"/>
    <w:rsid w:val="00AB63F5"/>
    <w:rsid w:val="00AB6FEF"/>
    <w:rsid w:val="00AC2C38"/>
    <w:rsid w:val="00AD7B43"/>
    <w:rsid w:val="00AE036D"/>
    <w:rsid w:val="00AE1982"/>
    <w:rsid w:val="00AE37AF"/>
    <w:rsid w:val="00AE7DFA"/>
    <w:rsid w:val="00AF6B7D"/>
    <w:rsid w:val="00AF6C71"/>
    <w:rsid w:val="00AF70E5"/>
    <w:rsid w:val="00AF7825"/>
    <w:rsid w:val="00B00984"/>
    <w:rsid w:val="00B01C06"/>
    <w:rsid w:val="00B01FA1"/>
    <w:rsid w:val="00B024D5"/>
    <w:rsid w:val="00B0512D"/>
    <w:rsid w:val="00B07279"/>
    <w:rsid w:val="00B0788D"/>
    <w:rsid w:val="00B11A6A"/>
    <w:rsid w:val="00B124FC"/>
    <w:rsid w:val="00B142FB"/>
    <w:rsid w:val="00B20C11"/>
    <w:rsid w:val="00B21D7D"/>
    <w:rsid w:val="00B228F6"/>
    <w:rsid w:val="00B233E9"/>
    <w:rsid w:val="00B23542"/>
    <w:rsid w:val="00B23847"/>
    <w:rsid w:val="00B270EE"/>
    <w:rsid w:val="00B32DE8"/>
    <w:rsid w:val="00B3304F"/>
    <w:rsid w:val="00B33E2D"/>
    <w:rsid w:val="00B34016"/>
    <w:rsid w:val="00B37B2E"/>
    <w:rsid w:val="00B42A7F"/>
    <w:rsid w:val="00B435D3"/>
    <w:rsid w:val="00B44CAA"/>
    <w:rsid w:val="00B50C13"/>
    <w:rsid w:val="00B51563"/>
    <w:rsid w:val="00B5503B"/>
    <w:rsid w:val="00B55174"/>
    <w:rsid w:val="00B556FA"/>
    <w:rsid w:val="00B56899"/>
    <w:rsid w:val="00B57F8D"/>
    <w:rsid w:val="00B6036E"/>
    <w:rsid w:val="00B6198A"/>
    <w:rsid w:val="00B639C0"/>
    <w:rsid w:val="00B65637"/>
    <w:rsid w:val="00B66934"/>
    <w:rsid w:val="00B70621"/>
    <w:rsid w:val="00B75E2A"/>
    <w:rsid w:val="00B8326E"/>
    <w:rsid w:val="00B83DBF"/>
    <w:rsid w:val="00B905ED"/>
    <w:rsid w:val="00B9202A"/>
    <w:rsid w:val="00B9631C"/>
    <w:rsid w:val="00B963B3"/>
    <w:rsid w:val="00B9735D"/>
    <w:rsid w:val="00BA071C"/>
    <w:rsid w:val="00BA2A7A"/>
    <w:rsid w:val="00BA7EB6"/>
    <w:rsid w:val="00BB16EC"/>
    <w:rsid w:val="00BC44E5"/>
    <w:rsid w:val="00BC6278"/>
    <w:rsid w:val="00BC6B71"/>
    <w:rsid w:val="00BC7ECB"/>
    <w:rsid w:val="00BD5E4A"/>
    <w:rsid w:val="00BD60BF"/>
    <w:rsid w:val="00BD7897"/>
    <w:rsid w:val="00BE4393"/>
    <w:rsid w:val="00BE54E0"/>
    <w:rsid w:val="00BE561E"/>
    <w:rsid w:val="00BE591C"/>
    <w:rsid w:val="00BF1AF9"/>
    <w:rsid w:val="00BF3867"/>
    <w:rsid w:val="00BF3C04"/>
    <w:rsid w:val="00BF4606"/>
    <w:rsid w:val="00BF4EAF"/>
    <w:rsid w:val="00BF7333"/>
    <w:rsid w:val="00C01BB7"/>
    <w:rsid w:val="00C02B43"/>
    <w:rsid w:val="00C06D12"/>
    <w:rsid w:val="00C07830"/>
    <w:rsid w:val="00C1047F"/>
    <w:rsid w:val="00C11C6B"/>
    <w:rsid w:val="00C12809"/>
    <w:rsid w:val="00C135E5"/>
    <w:rsid w:val="00C14799"/>
    <w:rsid w:val="00C147C9"/>
    <w:rsid w:val="00C16C38"/>
    <w:rsid w:val="00C200B5"/>
    <w:rsid w:val="00C321DD"/>
    <w:rsid w:val="00C353FD"/>
    <w:rsid w:val="00C35EF8"/>
    <w:rsid w:val="00C35EFC"/>
    <w:rsid w:val="00C36277"/>
    <w:rsid w:val="00C36278"/>
    <w:rsid w:val="00C41592"/>
    <w:rsid w:val="00C512C1"/>
    <w:rsid w:val="00C52519"/>
    <w:rsid w:val="00C54DE6"/>
    <w:rsid w:val="00C56157"/>
    <w:rsid w:val="00C56FB4"/>
    <w:rsid w:val="00C613CA"/>
    <w:rsid w:val="00C655B6"/>
    <w:rsid w:val="00C675E7"/>
    <w:rsid w:val="00C71B07"/>
    <w:rsid w:val="00C7429C"/>
    <w:rsid w:val="00C7706C"/>
    <w:rsid w:val="00C80642"/>
    <w:rsid w:val="00C86F28"/>
    <w:rsid w:val="00C9230F"/>
    <w:rsid w:val="00CA317C"/>
    <w:rsid w:val="00CA7384"/>
    <w:rsid w:val="00CA7B49"/>
    <w:rsid w:val="00CB0862"/>
    <w:rsid w:val="00CB2D70"/>
    <w:rsid w:val="00CB339A"/>
    <w:rsid w:val="00CB5441"/>
    <w:rsid w:val="00CC1071"/>
    <w:rsid w:val="00CC2CE2"/>
    <w:rsid w:val="00CD44FB"/>
    <w:rsid w:val="00CE01A5"/>
    <w:rsid w:val="00CE0BDE"/>
    <w:rsid w:val="00CE0D9C"/>
    <w:rsid w:val="00CE32CC"/>
    <w:rsid w:val="00CE41CD"/>
    <w:rsid w:val="00CE528B"/>
    <w:rsid w:val="00CF0378"/>
    <w:rsid w:val="00CF15B9"/>
    <w:rsid w:val="00CF4B60"/>
    <w:rsid w:val="00CF624C"/>
    <w:rsid w:val="00D02FC8"/>
    <w:rsid w:val="00D03A5E"/>
    <w:rsid w:val="00D14644"/>
    <w:rsid w:val="00D147D5"/>
    <w:rsid w:val="00D148D4"/>
    <w:rsid w:val="00D15231"/>
    <w:rsid w:val="00D25ABE"/>
    <w:rsid w:val="00D30ABD"/>
    <w:rsid w:val="00D33429"/>
    <w:rsid w:val="00D343C6"/>
    <w:rsid w:val="00D3690C"/>
    <w:rsid w:val="00D4079A"/>
    <w:rsid w:val="00D41A35"/>
    <w:rsid w:val="00D4207F"/>
    <w:rsid w:val="00D42544"/>
    <w:rsid w:val="00D45177"/>
    <w:rsid w:val="00D4615E"/>
    <w:rsid w:val="00D470C0"/>
    <w:rsid w:val="00D50E83"/>
    <w:rsid w:val="00D5250C"/>
    <w:rsid w:val="00D5309F"/>
    <w:rsid w:val="00D54688"/>
    <w:rsid w:val="00D56245"/>
    <w:rsid w:val="00D56B5B"/>
    <w:rsid w:val="00D6402A"/>
    <w:rsid w:val="00D653C5"/>
    <w:rsid w:val="00D72886"/>
    <w:rsid w:val="00D73844"/>
    <w:rsid w:val="00D753B5"/>
    <w:rsid w:val="00D77B92"/>
    <w:rsid w:val="00D8213B"/>
    <w:rsid w:val="00D82872"/>
    <w:rsid w:val="00D82CA6"/>
    <w:rsid w:val="00D878EC"/>
    <w:rsid w:val="00D9395C"/>
    <w:rsid w:val="00D948C4"/>
    <w:rsid w:val="00DA0312"/>
    <w:rsid w:val="00DA2F9F"/>
    <w:rsid w:val="00DA7F04"/>
    <w:rsid w:val="00DB4874"/>
    <w:rsid w:val="00DB6AA7"/>
    <w:rsid w:val="00DC1E59"/>
    <w:rsid w:val="00DC2128"/>
    <w:rsid w:val="00DC2F0C"/>
    <w:rsid w:val="00DC379B"/>
    <w:rsid w:val="00DC569A"/>
    <w:rsid w:val="00DC5757"/>
    <w:rsid w:val="00DD5EE2"/>
    <w:rsid w:val="00DD7AC6"/>
    <w:rsid w:val="00DE2180"/>
    <w:rsid w:val="00DE2C24"/>
    <w:rsid w:val="00DE3CA4"/>
    <w:rsid w:val="00DF1186"/>
    <w:rsid w:val="00DF166F"/>
    <w:rsid w:val="00DF3880"/>
    <w:rsid w:val="00E038B5"/>
    <w:rsid w:val="00E10B12"/>
    <w:rsid w:val="00E11427"/>
    <w:rsid w:val="00E17042"/>
    <w:rsid w:val="00E23854"/>
    <w:rsid w:val="00E3199D"/>
    <w:rsid w:val="00E32A3F"/>
    <w:rsid w:val="00E33CFB"/>
    <w:rsid w:val="00E3527A"/>
    <w:rsid w:val="00E35B5A"/>
    <w:rsid w:val="00E36855"/>
    <w:rsid w:val="00E37B6A"/>
    <w:rsid w:val="00E40762"/>
    <w:rsid w:val="00E41723"/>
    <w:rsid w:val="00E419AB"/>
    <w:rsid w:val="00E43596"/>
    <w:rsid w:val="00E45245"/>
    <w:rsid w:val="00E46C9C"/>
    <w:rsid w:val="00E47969"/>
    <w:rsid w:val="00E5129E"/>
    <w:rsid w:val="00E53A56"/>
    <w:rsid w:val="00E53B66"/>
    <w:rsid w:val="00E55534"/>
    <w:rsid w:val="00E649DE"/>
    <w:rsid w:val="00E67BB8"/>
    <w:rsid w:val="00E71E7B"/>
    <w:rsid w:val="00E72FC7"/>
    <w:rsid w:val="00E743FF"/>
    <w:rsid w:val="00E7478D"/>
    <w:rsid w:val="00E76166"/>
    <w:rsid w:val="00E76D41"/>
    <w:rsid w:val="00E76E13"/>
    <w:rsid w:val="00E77460"/>
    <w:rsid w:val="00E808B6"/>
    <w:rsid w:val="00E81122"/>
    <w:rsid w:val="00E84B15"/>
    <w:rsid w:val="00E87264"/>
    <w:rsid w:val="00E87E63"/>
    <w:rsid w:val="00E9242B"/>
    <w:rsid w:val="00E947F3"/>
    <w:rsid w:val="00E95A4F"/>
    <w:rsid w:val="00E9778A"/>
    <w:rsid w:val="00EA047C"/>
    <w:rsid w:val="00EA1446"/>
    <w:rsid w:val="00EA147D"/>
    <w:rsid w:val="00EA1F4A"/>
    <w:rsid w:val="00EA6CB6"/>
    <w:rsid w:val="00EB07DE"/>
    <w:rsid w:val="00EB0D79"/>
    <w:rsid w:val="00EB1B9F"/>
    <w:rsid w:val="00EB2EC3"/>
    <w:rsid w:val="00EB4688"/>
    <w:rsid w:val="00EB7F6B"/>
    <w:rsid w:val="00EC0377"/>
    <w:rsid w:val="00EC1986"/>
    <w:rsid w:val="00EC2DD4"/>
    <w:rsid w:val="00EC30F7"/>
    <w:rsid w:val="00EC3D2F"/>
    <w:rsid w:val="00EC3DA7"/>
    <w:rsid w:val="00EC52D8"/>
    <w:rsid w:val="00EC6466"/>
    <w:rsid w:val="00EC648E"/>
    <w:rsid w:val="00EC6D25"/>
    <w:rsid w:val="00ED05BE"/>
    <w:rsid w:val="00ED13B9"/>
    <w:rsid w:val="00ED55AD"/>
    <w:rsid w:val="00ED6D3E"/>
    <w:rsid w:val="00ED78D2"/>
    <w:rsid w:val="00EE05D1"/>
    <w:rsid w:val="00EE4F56"/>
    <w:rsid w:val="00EF1D3F"/>
    <w:rsid w:val="00EF32E8"/>
    <w:rsid w:val="00EF3F27"/>
    <w:rsid w:val="00EF44A8"/>
    <w:rsid w:val="00EF7D4C"/>
    <w:rsid w:val="00F01618"/>
    <w:rsid w:val="00F01EFC"/>
    <w:rsid w:val="00F03ED7"/>
    <w:rsid w:val="00F043CA"/>
    <w:rsid w:val="00F05722"/>
    <w:rsid w:val="00F07E59"/>
    <w:rsid w:val="00F12661"/>
    <w:rsid w:val="00F1283D"/>
    <w:rsid w:val="00F139D4"/>
    <w:rsid w:val="00F141F3"/>
    <w:rsid w:val="00F144B3"/>
    <w:rsid w:val="00F1566B"/>
    <w:rsid w:val="00F16CB8"/>
    <w:rsid w:val="00F20BD2"/>
    <w:rsid w:val="00F20E02"/>
    <w:rsid w:val="00F21017"/>
    <w:rsid w:val="00F258C5"/>
    <w:rsid w:val="00F2618C"/>
    <w:rsid w:val="00F26D80"/>
    <w:rsid w:val="00F34554"/>
    <w:rsid w:val="00F35E17"/>
    <w:rsid w:val="00F36186"/>
    <w:rsid w:val="00F416C0"/>
    <w:rsid w:val="00F41DE6"/>
    <w:rsid w:val="00F432D4"/>
    <w:rsid w:val="00F433EF"/>
    <w:rsid w:val="00F47AD6"/>
    <w:rsid w:val="00F52A86"/>
    <w:rsid w:val="00F54A53"/>
    <w:rsid w:val="00F551C1"/>
    <w:rsid w:val="00F55A7D"/>
    <w:rsid w:val="00F55F5A"/>
    <w:rsid w:val="00F57DC6"/>
    <w:rsid w:val="00F60E4F"/>
    <w:rsid w:val="00F62875"/>
    <w:rsid w:val="00F632D5"/>
    <w:rsid w:val="00F64689"/>
    <w:rsid w:val="00F72870"/>
    <w:rsid w:val="00F74A6F"/>
    <w:rsid w:val="00F82085"/>
    <w:rsid w:val="00F8298B"/>
    <w:rsid w:val="00F82BDA"/>
    <w:rsid w:val="00F84358"/>
    <w:rsid w:val="00F8767A"/>
    <w:rsid w:val="00F93623"/>
    <w:rsid w:val="00F96875"/>
    <w:rsid w:val="00F97EF3"/>
    <w:rsid w:val="00FA1A61"/>
    <w:rsid w:val="00FA7E20"/>
    <w:rsid w:val="00FB044C"/>
    <w:rsid w:val="00FB3BEA"/>
    <w:rsid w:val="00FB3F4E"/>
    <w:rsid w:val="00FB4C12"/>
    <w:rsid w:val="00FB6299"/>
    <w:rsid w:val="00FB728D"/>
    <w:rsid w:val="00FB7843"/>
    <w:rsid w:val="00FC0825"/>
    <w:rsid w:val="00FC0AF4"/>
    <w:rsid w:val="00FC6B21"/>
    <w:rsid w:val="00FD365C"/>
    <w:rsid w:val="00FD3EA6"/>
    <w:rsid w:val="00FD4BC1"/>
    <w:rsid w:val="00FD638A"/>
    <w:rsid w:val="00FD7CD3"/>
    <w:rsid w:val="00FE4148"/>
    <w:rsid w:val="00FE4322"/>
    <w:rsid w:val="00FE45F0"/>
    <w:rsid w:val="00FE523A"/>
    <w:rsid w:val="00FE6117"/>
    <w:rsid w:val="00FE7210"/>
    <w:rsid w:val="00FE751D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D0A6B"/>
  <w15:docId w15:val="{EACE67E7-8500-433E-937B-2591335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1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D61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rsid w:val="007D61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7D614C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2A1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7D614C"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qFormat/>
    <w:rsid w:val="007D614C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rsid w:val="007D614C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qFormat/>
    <w:rsid w:val="007D614C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rsid w:val="007D614C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rsid w:val="007D614C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rsid w:val="007D614C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ZkladntextChar">
    <w:name w:val="Základný text Char"/>
    <w:rsid w:val="007D614C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sid w:val="007D614C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sid w:val="007D614C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rsid w:val="007D614C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semiHidden/>
    <w:rsid w:val="007D614C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PtaChar">
    <w:name w:val="Päta Char"/>
    <w:uiPriority w:val="99"/>
    <w:rsid w:val="007D6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4Char">
    <w:name w:val="Nadpis 4 Char"/>
    <w:semiHidden/>
    <w:rsid w:val="007D614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s-CZ" w:eastAsia="cs-CZ"/>
    </w:rPr>
  </w:style>
  <w:style w:type="character" w:customStyle="1" w:styleId="Nadpis3Char">
    <w:name w:val="Nadpis 3 Char"/>
    <w:semiHidden/>
    <w:rsid w:val="007D614C"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Zkladntext2">
    <w:name w:val="Body Text 2"/>
    <w:basedOn w:val="Normlny"/>
    <w:rsid w:val="007D614C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ta">
    <w:name w:val="footer"/>
    <w:basedOn w:val="Normlny"/>
    <w:uiPriority w:val="99"/>
    <w:rsid w:val="007D614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kladntext">
    <w:name w:val="Body Text"/>
    <w:basedOn w:val="Normlny"/>
    <w:rsid w:val="007D614C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y"/>
    <w:rsid w:val="007D614C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7D614C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paragraph" w:styleId="Zarkazkladnhotextu2">
    <w:name w:val="Body Text Indent 2"/>
    <w:basedOn w:val="Normlny"/>
    <w:rsid w:val="007D614C"/>
    <w:pPr>
      <w:spacing w:before="120"/>
      <w:ind w:left="360"/>
    </w:pPr>
    <w:rPr>
      <w:sz w:val="22"/>
    </w:rPr>
  </w:style>
  <w:style w:type="character" w:styleId="slostrany">
    <w:name w:val="page number"/>
    <w:basedOn w:val="Predvolenpsmoodseku"/>
    <w:rsid w:val="007D614C"/>
  </w:style>
  <w:style w:type="paragraph" w:styleId="Hlavika">
    <w:name w:val="header"/>
    <w:basedOn w:val="Normlny"/>
    <w:link w:val="HlavikaChar"/>
    <w:uiPriority w:val="99"/>
    <w:rsid w:val="007D614C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8D7FCA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33296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7332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733296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176308"/>
    <w:rPr>
      <w:color w:val="0000FF"/>
      <w:u w:val="single"/>
    </w:rPr>
  </w:style>
  <w:style w:type="character" w:customStyle="1" w:styleId="Nadpis4Char1">
    <w:name w:val="Nadpis 4 Char1"/>
    <w:link w:val="Nadpis4"/>
    <w:semiHidden/>
    <w:rsid w:val="002A127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2A127C"/>
    <w:pPr>
      <w:ind w:left="720"/>
      <w:contextualSpacing/>
    </w:pPr>
  </w:style>
  <w:style w:type="character" w:styleId="Odkaznakomentr">
    <w:name w:val="annotation reference"/>
    <w:rsid w:val="003132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1320B"/>
    <w:rPr>
      <w:sz w:val="20"/>
      <w:szCs w:val="20"/>
    </w:rPr>
  </w:style>
  <w:style w:type="character" w:customStyle="1" w:styleId="TextkomentraChar">
    <w:name w:val="Text komentára Char"/>
    <w:link w:val="Textkomentra"/>
    <w:rsid w:val="0031320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1320B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31320B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132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20B"/>
    <w:rPr>
      <w:rFonts w:ascii="Tahoma" w:hAnsi="Tahoma" w:cs="Tahoma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0000BC"/>
    <w:rPr>
      <w:sz w:val="24"/>
      <w:szCs w:val="24"/>
      <w:lang w:val="cs-CZ" w:eastAsia="cs-CZ"/>
    </w:rPr>
  </w:style>
  <w:style w:type="paragraph" w:styleId="truktradokumentu">
    <w:name w:val="Document Map"/>
    <w:basedOn w:val="Normlny"/>
    <w:link w:val="truktradokumentuChar"/>
    <w:rsid w:val="00A94286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A9428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4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2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3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30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5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25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52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2DF0-1BFF-4BAB-BA54-4C44BB9D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3368</Words>
  <Characters>19203</Characters>
  <Application>Microsoft Office Word</Application>
  <DocSecurity>0</DocSecurity>
  <Lines>160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Obnova bytovej budovy</vt:lpstr>
      <vt:lpstr>Obnova bytovej budovy</vt:lpstr>
    </vt:vector>
  </TitlesOfParts>
  <Company>SFRB</Company>
  <LinksUpToDate>false</LinksUpToDate>
  <CharactersWithSpaces>22526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bytovej budovy</dc:title>
  <dc:creator>simlovicova</dc:creator>
  <cp:lastModifiedBy>Šimlovičová Eva</cp:lastModifiedBy>
  <cp:revision>10</cp:revision>
  <cp:lastPrinted>2014-11-26T11:17:00Z</cp:lastPrinted>
  <dcterms:created xsi:type="dcterms:W3CDTF">2018-01-22T09:13:00Z</dcterms:created>
  <dcterms:modified xsi:type="dcterms:W3CDTF">2018-02-08T09:29:00Z</dcterms:modified>
</cp:coreProperties>
</file>